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985AD" w14:textId="77777777" w:rsidR="00D361E3" w:rsidRPr="00703714" w:rsidRDefault="00D361E3" w:rsidP="00366C66">
      <w:pPr>
        <w:spacing w:line="360" w:lineRule="auto"/>
        <w:jc w:val="center"/>
        <w:rPr>
          <w:b/>
          <w:bCs/>
          <w:caps/>
          <w:sz w:val="28"/>
          <w:szCs w:val="28"/>
        </w:rPr>
      </w:pPr>
      <w:bookmarkStart w:id="0" w:name="_GoBack"/>
      <w:bookmarkEnd w:id="0"/>
      <w:r>
        <w:rPr>
          <w:b/>
          <w:bCs/>
          <w:caps/>
          <w:sz w:val="28"/>
          <w:szCs w:val="28"/>
        </w:rPr>
        <w:t>Supplemental Text S1</w:t>
      </w:r>
      <w:r w:rsidRPr="00703714">
        <w:rPr>
          <w:b/>
          <w:bCs/>
          <w:caps/>
          <w:sz w:val="28"/>
          <w:szCs w:val="28"/>
        </w:rPr>
        <w:t xml:space="preserve">: </w:t>
      </w:r>
    </w:p>
    <w:p w14:paraId="2ECA2C98" w14:textId="77777777" w:rsidR="00D361E3" w:rsidRPr="00703714" w:rsidRDefault="00D361E3" w:rsidP="00366C66">
      <w:pPr>
        <w:spacing w:line="360" w:lineRule="auto"/>
        <w:jc w:val="center"/>
        <w:rPr>
          <w:b/>
          <w:bCs/>
          <w:caps/>
          <w:sz w:val="28"/>
          <w:szCs w:val="28"/>
        </w:rPr>
      </w:pPr>
      <w:r w:rsidRPr="00703714">
        <w:rPr>
          <w:b/>
          <w:bCs/>
          <w:caps/>
          <w:sz w:val="28"/>
          <w:szCs w:val="28"/>
        </w:rPr>
        <w:t xml:space="preserve">Additional Information </w:t>
      </w:r>
      <w:r>
        <w:rPr>
          <w:b/>
          <w:bCs/>
          <w:caps/>
          <w:sz w:val="28"/>
          <w:szCs w:val="28"/>
        </w:rPr>
        <w:t>relating to Phylogenetic analyses</w:t>
      </w:r>
    </w:p>
    <w:p w14:paraId="1D1D88AE" w14:textId="77777777" w:rsidR="00D361E3" w:rsidRDefault="00D361E3" w:rsidP="00366C66">
      <w:pPr>
        <w:spacing w:line="360" w:lineRule="auto"/>
        <w:jc w:val="center"/>
      </w:pPr>
    </w:p>
    <w:p w14:paraId="11113D4D" w14:textId="77777777" w:rsidR="00D361E3" w:rsidRDefault="00D361E3" w:rsidP="00366C66">
      <w:pPr>
        <w:spacing w:line="360" w:lineRule="auto"/>
      </w:pPr>
      <w:r w:rsidRPr="00703714">
        <w:t xml:space="preserve">New </w:t>
      </w:r>
      <w:r>
        <w:t>small-bodied ornithopods</w:t>
      </w:r>
      <w:r w:rsidRPr="00703714">
        <w:t xml:space="preserve"> (Dinosauria, </w:t>
      </w:r>
      <w:r>
        <w:t>Neornithischia</w:t>
      </w:r>
      <w:r w:rsidRPr="00703714">
        <w:t xml:space="preserve">) from the Early Cretaceous </w:t>
      </w:r>
      <w:r>
        <w:t>Wonthaggi Formation</w:t>
      </w:r>
      <w:r w:rsidRPr="00703714">
        <w:t xml:space="preserve"> </w:t>
      </w:r>
      <w:r>
        <w:t xml:space="preserve">(Strzelecki Group) </w:t>
      </w:r>
      <w:r w:rsidRPr="00703714">
        <w:t xml:space="preserve">of the Australian-Antarctic rift system </w:t>
      </w:r>
      <w:r>
        <w:t>with</w:t>
      </w:r>
      <w:r w:rsidRPr="00703714">
        <w:t xml:space="preserve"> revision of </w:t>
      </w:r>
      <w:r w:rsidRPr="00703714">
        <w:rPr>
          <w:i/>
        </w:rPr>
        <w:t>Qantassaurus intrepidus</w:t>
      </w:r>
      <w:r w:rsidRPr="00703714">
        <w:t xml:space="preserve"> Rich &amp; Vickers-Rich, 1999</w:t>
      </w:r>
    </w:p>
    <w:p w14:paraId="5D696E64" w14:textId="77777777" w:rsidR="00D361E3" w:rsidRPr="00703714" w:rsidRDefault="00D361E3" w:rsidP="00366C66">
      <w:pPr>
        <w:pStyle w:val="bodytext1"/>
        <w:spacing w:line="360" w:lineRule="auto"/>
        <w:rPr>
          <w:i/>
        </w:rPr>
      </w:pPr>
      <w:r w:rsidRPr="00703714">
        <w:rPr>
          <w:i/>
        </w:rPr>
        <w:t>Matthew C. Herne, Jay P. Nair, Alistair R. Evans, and Alan M. Tait</w:t>
      </w:r>
    </w:p>
    <w:p w14:paraId="30BCCDBE" w14:textId="77777777" w:rsidR="00D361E3" w:rsidRDefault="00D361E3" w:rsidP="00366C66">
      <w:pPr>
        <w:spacing w:line="360" w:lineRule="auto"/>
        <w:jc w:val="center"/>
      </w:pPr>
    </w:p>
    <w:p w14:paraId="562DBC93" w14:textId="77777777" w:rsidR="00D361E3" w:rsidRPr="00560916" w:rsidRDefault="00D361E3" w:rsidP="00366C66">
      <w:pPr>
        <w:spacing w:line="360" w:lineRule="auto"/>
        <w:rPr>
          <w:rFonts w:ascii="Calibri" w:hAnsi="Calibri"/>
          <w:b/>
          <w:sz w:val="26"/>
          <w:szCs w:val="26"/>
        </w:rPr>
      </w:pPr>
      <w:r>
        <w:rPr>
          <w:rFonts w:ascii="Calibri" w:hAnsi="Calibri"/>
          <w:b/>
          <w:sz w:val="26"/>
          <w:szCs w:val="26"/>
        </w:rPr>
        <w:t>Contents:</w:t>
      </w:r>
    </w:p>
    <w:p w14:paraId="33A84957"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fldChar w:fldCharType="begin"/>
      </w:r>
      <w:r>
        <w:instrText xml:space="preserve"> TOC \o "1-1" </w:instrText>
      </w:r>
      <w:r>
        <w:fldChar w:fldCharType="separate"/>
      </w:r>
      <w:r>
        <w:rPr>
          <w:noProof/>
        </w:rPr>
        <w:t>1. Phylogenetic taxonomy</w:t>
      </w:r>
      <w:r>
        <w:rPr>
          <w:noProof/>
        </w:rPr>
        <w:tab/>
      </w:r>
      <w:r>
        <w:rPr>
          <w:noProof/>
        </w:rPr>
        <w:fldChar w:fldCharType="begin"/>
      </w:r>
      <w:r>
        <w:rPr>
          <w:noProof/>
        </w:rPr>
        <w:instrText xml:space="preserve"> PAGEREF _Toc400287915 \h </w:instrText>
      </w:r>
      <w:r>
        <w:rPr>
          <w:noProof/>
        </w:rPr>
      </w:r>
      <w:r>
        <w:rPr>
          <w:noProof/>
        </w:rPr>
        <w:fldChar w:fldCharType="separate"/>
      </w:r>
      <w:r>
        <w:rPr>
          <w:noProof/>
        </w:rPr>
        <w:t>2</w:t>
      </w:r>
      <w:r>
        <w:rPr>
          <w:noProof/>
        </w:rPr>
        <w:fldChar w:fldCharType="end"/>
      </w:r>
    </w:p>
    <w:p w14:paraId="5A1264B2"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2. Further remarks on operational taxonomic units and dataset completeness</w:t>
      </w:r>
      <w:r>
        <w:rPr>
          <w:noProof/>
        </w:rPr>
        <w:tab/>
      </w:r>
      <w:r>
        <w:rPr>
          <w:noProof/>
        </w:rPr>
        <w:fldChar w:fldCharType="begin"/>
      </w:r>
      <w:r>
        <w:rPr>
          <w:noProof/>
        </w:rPr>
        <w:instrText xml:space="preserve"> PAGEREF _Toc400287916 \h </w:instrText>
      </w:r>
      <w:r>
        <w:rPr>
          <w:noProof/>
        </w:rPr>
      </w:r>
      <w:r>
        <w:rPr>
          <w:noProof/>
        </w:rPr>
        <w:fldChar w:fldCharType="separate"/>
      </w:r>
      <w:r>
        <w:rPr>
          <w:noProof/>
        </w:rPr>
        <w:t>7</w:t>
      </w:r>
      <w:r>
        <w:rPr>
          <w:noProof/>
        </w:rPr>
        <w:fldChar w:fldCharType="end"/>
      </w:r>
    </w:p>
    <w:p w14:paraId="0EADF58E"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3. Implied weighted K-factor selection</w:t>
      </w:r>
      <w:r>
        <w:rPr>
          <w:noProof/>
        </w:rPr>
        <w:tab/>
      </w:r>
      <w:r>
        <w:rPr>
          <w:noProof/>
        </w:rPr>
        <w:fldChar w:fldCharType="begin"/>
      </w:r>
      <w:r>
        <w:rPr>
          <w:noProof/>
        </w:rPr>
        <w:instrText xml:space="preserve"> PAGEREF _Toc400287917 \h </w:instrText>
      </w:r>
      <w:r>
        <w:rPr>
          <w:noProof/>
        </w:rPr>
      </w:r>
      <w:r>
        <w:rPr>
          <w:noProof/>
        </w:rPr>
        <w:fldChar w:fldCharType="separate"/>
      </w:r>
      <w:r>
        <w:rPr>
          <w:noProof/>
        </w:rPr>
        <w:t>9</w:t>
      </w:r>
      <w:r>
        <w:rPr>
          <w:noProof/>
        </w:rPr>
        <w:fldChar w:fldCharType="end"/>
      </w:r>
    </w:p>
    <w:p w14:paraId="42B209D9"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4. Support measures for the strict consensus trees</w:t>
      </w:r>
      <w:r>
        <w:rPr>
          <w:noProof/>
        </w:rPr>
        <w:tab/>
      </w:r>
      <w:r>
        <w:rPr>
          <w:noProof/>
        </w:rPr>
        <w:fldChar w:fldCharType="begin"/>
      </w:r>
      <w:r>
        <w:rPr>
          <w:noProof/>
        </w:rPr>
        <w:instrText xml:space="preserve"> PAGEREF _Toc400287918 \h </w:instrText>
      </w:r>
      <w:r>
        <w:rPr>
          <w:noProof/>
        </w:rPr>
      </w:r>
      <w:r>
        <w:rPr>
          <w:noProof/>
        </w:rPr>
        <w:fldChar w:fldCharType="separate"/>
      </w:r>
      <w:r>
        <w:rPr>
          <w:noProof/>
        </w:rPr>
        <w:t>13</w:t>
      </w:r>
      <w:r>
        <w:rPr>
          <w:noProof/>
        </w:rPr>
        <w:fldChar w:fldCharType="end"/>
      </w:r>
    </w:p>
    <w:p w14:paraId="4330ABB0"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5. Iterative PCR</w:t>
      </w:r>
      <w:r>
        <w:rPr>
          <w:noProof/>
        </w:rPr>
        <w:tab/>
      </w:r>
      <w:r>
        <w:rPr>
          <w:noProof/>
        </w:rPr>
        <w:fldChar w:fldCharType="begin"/>
      </w:r>
      <w:r>
        <w:rPr>
          <w:noProof/>
        </w:rPr>
        <w:instrText xml:space="preserve"> PAGEREF _Toc400287919 \h </w:instrText>
      </w:r>
      <w:r>
        <w:rPr>
          <w:noProof/>
        </w:rPr>
      </w:r>
      <w:r>
        <w:rPr>
          <w:noProof/>
        </w:rPr>
        <w:fldChar w:fldCharType="separate"/>
      </w:r>
      <w:r>
        <w:rPr>
          <w:noProof/>
        </w:rPr>
        <w:t>15</w:t>
      </w:r>
      <w:r>
        <w:rPr>
          <w:noProof/>
        </w:rPr>
        <w:fldChar w:fldCharType="end"/>
      </w:r>
    </w:p>
    <w:p w14:paraId="3D376152"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6. List of character state changes (optimized synapomorphies)</w:t>
      </w:r>
      <w:r>
        <w:rPr>
          <w:noProof/>
        </w:rPr>
        <w:tab/>
      </w:r>
      <w:r>
        <w:rPr>
          <w:noProof/>
        </w:rPr>
        <w:fldChar w:fldCharType="begin"/>
      </w:r>
      <w:r>
        <w:rPr>
          <w:noProof/>
        </w:rPr>
        <w:instrText xml:space="preserve"> PAGEREF _Toc400287920 \h </w:instrText>
      </w:r>
      <w:r>
        <w:rPr>
          <w:noProof/>
        </w:rPr>
      </w:r>
      <w:r>
        <w:rPr>
          <w:noProof/>
        </w:rPr>
        <w:fldChar w:fldCharType="separate"/>
      </w:r>
      <w:r>
        <w:rPr>
          <w:noProof/>
        </w:rPr>
        <w:t>16</w:t>
      </w:r>
      <w:r>
        <w:rPr>
          <w:noProof/>
        </w:rPr>
        <w:fldChar w:fldCharType="end"/>
      </w:r>
    </w:p>
    <w:p w14:paraId="109D4D3A"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7. Sources for taxon age ranges depicted in Figure 28</w:t>
      </w:r>
      <w:r>
        <w:rPr>
          <w:noProof/>
        </w:rPr>
        <w:tab/>
      </w:r>
      <w:r>
        <w:rPr>
          <w:noProof/>
        </w:rPr>
        <w:fldChar w:fldCharType="begin"/>
      </w:r>
      <w:r>
        <w:rPr>
          <w:noProof/>
        </w:rPr>
        <w:instrText xml:space="preserve"> PAGEREF _Toc400287921 \h </w:instrText>
      </w:r>
      <w:r>
        <w:rPr>
          <w:noProof/>
        </w:rPr>
      </w:r>
      <w:r>
        <w:rPr>
          <w:noProof/>
        </w:rPr>
        <w:fldChar w:fldCharType="separate"/>
      </w:r>
      <w:r>
        <w:rPr>
          <w:noProof/>
        </w:rPr>
        <w:t>23</w:t>
      </w:r>
      <w:r>
        <w:rPr>
          <w:noProof/>
        </w:rPr>
        <w:fldChar w:fldCharType="end"/>
      </w:r>
    </w:p>
    <w:p w14:paraId="7DA853A7"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8. EW maximum agreement subtree</w:t>
      </w:r>
      <w:r>
        <w:rPr>
          <w:noProof/>
        </w:rPr>
        <w:tab/>
      </w:r>
      <w:r>
        <w:rPr>
          <w:noProof/>
        </w:rPr>
        <w:fldChar w:fldCharType="begin"/>
      </w:r>
      <w:r>
        <w:rPr>
          <w:noProof/>
        </w:rPr>
        <w:instrText xml:space="preserve"> PAGEREF _Toc400287922 \h </w:instrText>
      </w:r>
      <w:r>
        <w:rPr>
          <w:noProof/>
        </w:rPr>
      </w:r>
      <w:r>
        <w:rPr>
          <w:noProof/>
        </w:rPr>
        <w:fldChar w:fldCharType="separate"/>
      </w:r>
      <w:r>
        <w:rPr>
          <w:noProof/>
        </w:rPr>
        <w:t>26</w:t>
      </w:r>
      <w:r>
        <w:rPr>
          <w:noProof/>
        </w:rPr>
        <w:fldChar w:fldCharType="end"/>
      </w:r>
    </w:p>
    <w:p w14:paraId="3D9E269A" w14:textId="77777777" w:rsidR="00D361E3" w:rsidRDefault="00D361E3" w:rsidP="00CC1218">
      <w:pPr>
        <w:pStyle w:val="TOC1"/>
        <w:tabs>
          <w:tab w:val="right" w:leader="dot" w:pos="8290"/>
        </w:tabs>
        <w:spacing w:line="360" w:lineRule="auto"/>
        <w:rPr>
          <w:rFonts w:asciiTheme="minorHAnsi" w:hAnsiTheme="minorHAnsi"/>
          <w:noProof/>
          <w:lang w:val="en-AU" w:eastAsia="ja-JP"/>
        </w:rPr>
      </w:pPr>
      <w:r>
        <w:rPr>
          <w:noProof/>
        </w:rPr>
        <w:t>9. Literature cited</w:t>
      </w:r>
      <w:r>
        <w:rPr>
          <w:noProof/>
        </w:rPr>
        <w:tab/>
      </w:r>
      <w:r>
        <w:rPr>
          <w:noProof/>
        </w:rPr>
        <w:fldChar w:fldCharType="begin"/>
      </w:r>
      <w:r>
        <w:rPr>
          <w:noProof/>
        </w:rPr>
        <w:instrText xml:space="preserve"> PAGEREF _Toc400287923 \h </w:instrText>
      </w:r>
      <w:r>
        <w:rPr>
          <w:noProof/>
        </w:rPr>
      </w:r>
      <w:r>
        <w:rPr>
          <w:noProof/>
        </w:rPr>
        <w:fldChar w:fldCharType="separate"/>
      </w:r>
      <w:r>
        <w:rPr>
          <w:noProof/>
        </w:rPr>
        <w:t>28</w:t>
      </w:r>
      <w:r>
        <w:rPr>
          <w:noProof/>
        </w:rPr>
        <w:fldChar w:fldCharType="end"/>
      </w:r>
    </w:p>
    <w:p w14:paraId="773BC260" w14:textId="77777777" w:rsidR="00D361E3" w:rsidRDefault="00D361E3" w:rsidP="00CC1218">
      <w:pPr>
        <w:spacing w:line="360" w:lineRule="auto"/>
      </w:pPr>
      <w:r>
        <w:fldChar w:fldCharType="end"/>
      </w:r>
    </w:p>
    <w:p w14:paraId="4A9CD44F" w14:textId="77777777" w:rsidR="00D361E3" w:rsidRDefault="00D361E3" w:rsidP="00E97B54">
      <w:pPr>
        <w:tabs>
          <w:tab w:val="left" w:pos="6997"/>
        </w:tabs>
        <w:spacing w:line="360" w:lineRule="auto"/>
      </w:pPr>
      <w:r>
        <w:tab/>
      </w:r>
    </w:p>
    <w:p w14:paraId="7D89C937" w14:textId="77777777" w:rsidR="00D361E3" w:rsidRDefault="00D361E3" w:rsidP="00366C66">
      <w:pPr>
        <w:spacing w:line="360" w:lineRule="auto"/>
        <w:rPr>
          <w:rFonts w:ascii="Calibri" w:hAnsi="Calibri"/>
          <w:b/>
          <w:bCs/>
          <w:caps/>
          <w:sz w:val="26"/>
          <w:szCs w:val="26"/>
        </w:rPr>
      </w:pPr>
      <w:r>
        <w:br w:type="page"/>
      </w:r>
    </w:p>
    <w:p w14:paraId="29F9401D" w14:textId="77777777" w:rsidR="00D361E3" w:rsidRDefault="00D361E3" w:rsidP="00366C66">
      <w:pPr>
        <w:pStyle w:val="Heading1"/>
        <w:spacing w:line="360" w:lineRule="auto"/>
      </w:pPr>
      <w:bookmarkStart w:id="1" w:name="_Toc400287915"/>
      <w:r>
        <w:lastRenderedPageBreak/>
        <w:t>1. Phylogenetic taxonomy</w:t>
      </w:r>
      <w:bookmarkEnd w:id="1"/>
    </w:p>
    <w:p w14:paraId="5A1D5932" w14:textId="77777777" w:rsidR="00D361E3" w:rsidRDefault="00D361E3" w:rsidP="00366C66">
      <w:pPr>
        <w:spacing w:line="360" w:lineRule="auto"/>
      </w:pPr>
      <w:r w:rsidRPr="00A3076B">
        <w:rPr>
          <w:rFonts w:cs="Times New Roman"/>
        </w:rPr>
        <w:t xml:space="preserve">The majority of the following </w:t>
      </w:r>
      <w:r>
        <w:rPr>
          <w:rFonts w:cs="Times New Roman"/>
        </w:rPr>
        <w:t xml:space="preserve">phylogenetic </w:t>
      </w:r>
      <w:r w:rsidRPr="00A3076B">
        <w:rPr>
          <w:rFonts w:cs="Times New Roman"/>
        </w:rPr>
        <w:t xml:space="preserve">definitions follow those listed in </w:t>
      </w:r>
      <w:r w:rsidRPr="00215FA7">
        <w:rPr>
          <w:noProof/>
        </w:rPr>
        <w:t>Madzia et al. (2018: Supplemental Appendix 1)</w:t>
      </w:r>
      <w:r w:rsidRPr="00A3076B">
        <w:t xml:space="preserve">, to which readers may refer for </w:t>
      </w:r>
      <w:r>
        <w:t>additional</w:t>
      </w:r>
      <w:r w:rsidRPr="00A3076B">
        <w:t xml:space="preserve"> </w:t>
      </w:r>
      <w:r>
        <w:t>remarks on clade definitions. However, several of the definitions are further revised here.</w:t>
      </w:r>
    </w:p>
    <w:p w14:paraId="32F3CA00" w14:textId="77777777" w:rsidR="00D361E3" w:rsidRDefault="00D361E3" w:rsidP="00366C66">
      <w:pPr>
        <w:spacing w:line="360" w:lineRule="auto"/>
        <w:rPr>
          <w:rFonts w:cs="Times New Roman"/>
        </w:rPr>
      </w:pPr>
    </w:p>
    <w:p w14:paraId="4D993EFC" w14:textId="77777777" w:rsidR="00D361E3" w:rsidRPr="0079093F" w:rsidRDefault="00D361E3" w:rsidP="00366C66">
      <w:pPr>
        <w:spacing w:line="360" w:lineRule="auto"/>
      </w:pPr>
      <w:r>
        <w:rPr>
          <w:rFonts w:cs="Times New Roman"/>
          <w:b/>
        </w:rPr>
        <w:t>Ornithischia</w:t>
      </w:r>
      <w:r>
        <w:t xml:space="preserve"> </w:t>
      </w:r>
      <w:r w:rsidRPr="00215FA7">
        <w:rPr>
          <w:noProof/>
        </w:rPr>
        <w:t>Seeley (1887)</w:t>
      </w:r>
      <w:r>
        <w:t>—</w:t>
      </w:r>
      <w:r>
        <w:rPr>
          <w:rFonts w:cs="Times New Roman"/>
        </w:rPr>
        <w:t>Stem</w:t>
      </w:r>
      <w:r w:rsidRPr="00B8249B">
        <w:rPr>
          <w:rFonts w:cs="Times New Roman"/>
        </w:rPr>
        <w:t xml:space="preserve">-based: the </w:t>
      </w:r>
      <w:r>
        <w:rPr>
          <w:rFonts w:cs="Times New Roman"/>
        </w:rPr>
        <w:t>most</w:t>
      </w:r>
      <w:r w:rsidRPr="00B8249B">
        <w:rPr>
          <w:rFonts w:cs="Times New Roman"/>
        </w:rPr>
        <w:t xml:space="preserve"> inclusive clade containing </w:t>
      </w:r>
      <w:r w:rsidRPr="00B8249B">
        <w:rPr>
          <w:rFonts w:cs="Times New Roman"/>
          <w:i/>
          <w:lang w:val="en-US"/>
        </w:rPr>
        <w:t>Triceratops</w:t>
      </w:r>
      <w:r w:rsidRPr="00B8249B">
        <w:rPr>
          <w:rFonts w:cs="Times New Roman"/>
          <w:lang w:val="en-US"/>
        </w:rPr>
        <w:t xml:space="preserve"> </w:t>
      </w:r>
      <w:r w:rsidRPr="00B8249B">
        <w:rPr>
          <w:rFonts w:cs="Times New Roman"/>
          <w:i/>
          <w:lang w:val="en-US"/>
        </w:rPr>
        <w:t>horridus</w:t>
      </w:r>
      <w:r>
        <w:rPr>
          <w:rFonts w:cs="Times New Roman"/>
          <w:lang w:val="en-US"/>
        </w:rPr>
        <w:t xml:space="preserve"> but not </w:t>
      </w:r>
      <w:r>
        <w:rPr>
          <w:rFonts w:cs="Times New Roman"/>
          <w:i/>
          <w:lang w:val="en-US"/>
        </w:rPr>
        <w:t>Passer domesticus</w:t>
      </w:r>
      <w:r>
        <w:rPr>
          <w:rFonts w:cs="Times New Roman"/>
          <w:lang w:val="en-US"/>
        </w:rPr>
        <w:t xml:space="preserve"> or </w:t>
      </w:r>
      <w:r>
        <w:rPr>
          <w:rFonts w:cs="Times New Roman"/>
          <w:i/>
          <w:lang w:val="en-US"/>
        </w:rPr>
        <w:t>Saltasaurus loricatus</w:t>
      </w:r>
      <w:r>
        <w:rPr>
          <w:rFonts w:cs="Times New Roman"/>
          <w:lang w:val="en-US"/>
        </w:rPr>
        <w:t xml:space="preserve"> </w:t>
      </w:r>
      <w:r>
        <w:rPr>
          <w:rFonts w:cs="Times New Roman"/>
          <w:noProof/>
          <w:lang w:val="en-US"/>
        </w:rPr>
        <w:t>(</w:t>
      </w:r>
      <w:r w:rsidRPr="00215FA7">
        <w:rPr>
          <w:rFonts w:cs="Times New Roman"/>
          <w:noProof/>
          <w:lang w:val="en-US"/>
        </w:rPr>
        <w:t>also see Norman et al., 2004</w:t>
      </w:r>
      <w:r>
        <w:rPr>
          <w:rFonts w:cs="Times New Roman"/>
          <w:noProof/>
          <w:lang w:val="en-US"/>
        </w:rPr>
        <w:t xml:space="preserve">; </w:t>
      </w:r>
      <w:r w:rsidRPr="00215FA7">
        <w:rPr>
          <w:rFonts w:cs="Times New Roman"/>
          <w:noProof/>
          <w:lang w:val="en-US"/>
        </w:rPr>
        <w:t>sensu Sereno, 2005</w:t>
      </w:r>
      <w:r>
        <w:rPr>
          <w:rFonts w:cs="Times New Roman"/>
          <w:noProof/>
          <w:lang w:val="en-US"/>
        </w:rPr>
        <w:t xml:space="preserve">; </w:t>
      </w:r>
      <w:r w:rsidRPr="00215FA7">
        <w:rPr>
          <w:rFonts w:cs="Times New Roman"/>
          <w:noProof/>
          <w:lang w:val="en-US"/>
        </w:rPr>
        <w:t>Baron et al., 2017 for similar, compatible definitions</w:t>
      </w:r>
      <w:r>
        <w:rPr>
          <w:rFonts w:cs="Times New Roman"/>
          <w:noProof/>
          <w:lang w:val="en-US"/>
        </w:rPr>
        <w:t>)</w:t>
      </w:r>
      <w:r>
        <w:t>.</w:t>
      </w:r>
    </w:p>
    <w:p w14:paraId="0B123359" w14:textId="77777777" w:rsidR="00D361E3" w:rsidRPr="00A3076B" w:rsidRDefault="00D361E3" w:rsidP="00366C66">
      <w:pPr>
        <w:spacing w:line="360" w:lineRule="auto"/>
        <w:rPr>
          <w:rFonts w:cs="Times New Roman"/>
        </w:rPr>
      </w:pPr>
    </w:p>
    <w:p w14:paraId="5448A317" w14:textId="77777777" w:rsidR="00D361E3" w:rsidRDefault="00D361E3" w:rsidP="00366C66">
      <w:pPr>
        <w:spacing w:line="360" w:lineRule="auto"/>
      </w:pPr>
      <w:r w:rsidRPr="00B8249B">
        <w:rPr>
          <w:rFonts w:cs="Times New Roman"/>
          <w:b/>
        </w:rPr>
        <w:t>Genasauria</w:t>
      </w:r>
      <w:r w:rsidRPr="00B8249B">
        <w:rPr>
          <w:rFonts w:cs="Times New Roman"/>
        </w:rPr>
        <w:t xml:space="preserve"> </w:t>
      </w:r>
      <w:r w:rsidRPr="00215FA7">
        <w:rPr>
          <w:noProof/>
        </w:rPr>
        <w:t>Sereno (1986)</w:t>
      </w:r>
      <w:r>
        <w:t>—</w:t>
      </w:r>
      <w:r w:rsidRPr="00B8249B">
        <w:rPr>
          <w:rFonts w:cs="Times New Roman"/>
        </w:rPr>
        <w:t xml:space="preserve">Node-based: the least inclusive clade containing </w:t>
      </w:r>
      <w:r>
        <w:rPr>
          <w:rFonts w:cs="Times New Roman"/>
          <w:i/>
        </w:rPr>
        <w:t>Ankylosaurus</w:t>
      </w:r>
      <w:r w:rsidRPr="00B8249B">
        <w:rPr>
          <w:rFonts w:cs="Times New Roman"/>
          <w:i/>
        </w:rPr>
        <w:t xml:space="preserve"> </w:t>
      </w:r>
      <w:r w:rsidRPr="00B8249B">
        <w:rPr>
          <w:rFonts w:cs="Times New Roman"/>
          <w:i/>
          <w:lang w:val="en-US"/>
        </w:rPr>
        <w:t>magniventris</w:t>
      </w:r>
      <w:r>
        <w:rPr>
          <w:rFonts w:cs="Times New Roman"/>
          <w:lang w:val="en-US"/>
        </w:rPr>
        <w:t xml:space="preserve">, </w:t>
      </w:r>
      <w:r>
        <w:rPr>
          <w:i/>
        </w:rPr>
        <w:t>Parasaurolophus</w:t>
      </w:r>
      <w:r>
        <w:t xml:space="preserve"> </w:t>
      </w:r>
      <w:r w:rsidRPr="005D64FC">
        <w:rPr>
          <w:i/>
        </w:rPr>
        <w:t>walkeri</w:t>
      </w:r>
      <w:r>
        <w:t xml:space="preserve"> </w:t>
      </w:r>
      <w:r>
        <w:rPr>
          <w:rFonts w:cs="Times New Roman"/>
          <w:lang w:val="en-US"/>
        </w:rPr>
        <w:t xml:space="preserve">and </w:t>
      </w:r>
      <w:r w:rsidRPr="00B8249B">
        <w:rPr>
          <w:rFonts w:cs="Times New Roman"/>
          <w:i/>
          <w:lang w:val="en-US"/>
        </w:rPr>
        <w:t>Triceratops</w:t>
      </w:r>
      <w:r w:rsidRPr="00B8249B">
        <w:rPr>
          <w:rFonts w:cs="Times New Roman"/>
          <w:lang w:val="en-US"/>
        </w:rPr>
        <w:t xml:space="preserve"> </w:t>
      </w:r>
      <w:r w:rsidRPr="00B8249B">
        <w:rPr>
          <w:rFonts w:cs="Times New Roman"/>
          <w:i/>
          <w:lang w:val="en-US"/>
        </w:rPr>
        <w:t>horridus</w:t>
      </w:r>
      <w:r w:rsidRPr="00B8249B">
        <w:rPr>
          <w:rFonts w:cs="Times New Roman"/>
          <w:lang w:val="en-US"/>
        </w:rPr>
        <w:t xml:space="preserve"> </w:t>
      </w:r>
      <w:r>
        <w:rPr>
          <w:noProof/>
        </w:rPr>
        <w:t>(</w:t>
      </w:r>
      <w:r w:rsidRPr="00215FA7">
        <w:rPr>
          <w:noProof/>
        </w:rPr>
        <w:t>sensu Sereno, 1998</w:t>
      </w:r>
      <w:r>
        <w:rPr>
          <w:noProof/>
        </w:rPr>
        <w:t>)</w:t>
      </w:r>
      <w:r>
        <w:t>.</w:t>
      </w:r>
    </w:p>
    <w:p w14:paraId="01A58752" w14:textId="77777777" w:rsidR="00D361E3" w:rsidRDefault="00D361E3" w:rsidP="00366C66">
      <w:pPr>
        <w:spacing w:line="360" w:lineRule="auto"/>
      </w:pPr>
    </w:p>
    <w:p w14:paraId="4644FFB9" w14:textId="77777777" w:rsidR="00D361E3" w:rsidRPr="00B8249B" w:rsidRDefault="00D361E3" w:rsidP="00366C66">
      <w:pPr>
        <w:spacing w:line="360" w:lineRule="auto"/>
        <w:rPr>
          <w:rFonts w:cs="Times New Roman"/>
        </w:rPr>
      </w:pPr>
      <w:r>
        <w:rPr>
          <w:rFonts w:cs="Times New Roman"/>
          <w:b/>
        </w:rPr>
        <w:t>Thyreophora</w:t>
      </w:r>
      <w:r>
        <w:t xml:space="preserve"> </w:t>
      </w:r>
      <w:r w:rsidRPr="00215FA7">
        <w:rPr>
          <w:noProof/>
        </w:rPr>
        <w:t>Nopcsa (1915)</w:t>
      </w:r>
      <w:r>
        <w:t>—</w:t>
      </w:r>
      <w:r>
        <w:rPr>
          <w:rFonts w:cs="Times New Roman"/>
        </w:rPr>
        <w:t>Stem</w:t>
      </w:r>
      <w:r w:rsidRPr="00B8249B">
        <w:rPr>
          <w:rFonts w:cs="Times New Roman"/>
        </w:rPr>
        <w:t xml:space="preserve">-based: the </w:t>
      </w:r>
      <w:r>
        <w:rPr>
          <w:rFonts w:cs="Times New Roman"/>
        </w:rPr>
        <w:t>most</w:t>
      </w:r>
      <w:r w:rsidRPr="00B8249B">
        <w:rPr>
          <w:rFonts w:cs="Times New Roman"/>
        </w:rPr>
        <w:t xml:space="preserve"> inclusive clade containing </w:t>
      </w:r>
      <w:r>
        <w:rPr>
          <w:rFonts w:cs="Times New Roman"/>
          <w:i/>
        </w:rPr>
        <w:t>Ankylosaurus</w:t>
      </w:r>
      <w:r w:rsidRPr="00B8249B">
        <w:rPr>
          <w:rFonts w:cs="Times New Roman"/>
          <w:i/>
        </w:rPr>
        <w:t xml:space="preserve"> </w:t>
      </w:r>
      <w:r w:rsidRPr="00B8249B">
        <w:rPr>
          <w:rFonts w:cs="Times New Roman"/>
          <w:i/>
          <w:lang w:val="en-US"/>
        </w:rPr>
        <w:t>magniventris</w:t>
      </w:r>
      <w:r>
        <w:rPr>
          <w:rFonts w:cs="Times New Roman"/>
          <w:lang w:val="en-US"/>
        </w:rPr>
        <w:t xml:space="preserve"> </w:t>
      </w:r>
      <w:r>
        <w:t xml:space="preserve">but not </w:t>
      </w:r>
      <w:r w:rsidRPr="00B8249B">
        <w:rPr>
          <w:rFonts w:cs="Times New Roman"/>
          <w:i/>
          <w:lang w:val="en-US"/>
        </w:rPr>
        <w:t>Triceratops</w:t>
      </w:r>
      <w:r w:rsidRPr="00B8249B">
        <w:rPr>
          <w:rFonts w:cs="Times New Roman"/>
          <w:lang w:val="en-US"/>
        </w:rPr>
        <w:t xml:space="preserve"> </w:t>
      </w:r>
      <w:r w:rsidRPr="00B8249B">
        <w:rPr>
          <w:rFonts w:cs="Times New Roman"/>
          <w:i/>
          <w:lang w:val="en-US"/>
        </w:rPr>
        <w:t>horridus</w:t>
      </w:r>
      <w:r w:rsidRPr="00B8249B">
        <w:rPr>
          <w:rFonts w:cs="Times New Roman"/>
          <w:lang w:val="en-US"/>
        </w:rPr>
        <w:t xml:space="preserve"> </w:t>
      </w:r>
      <w:r>
        <w:rPr>
          <w:noProof/>
        </w:rPr>
        <w:t>(</w:t>
      </w:r>
      <w:r w:rsidRPr="00215FA7">
        <w:rPr>
          <w:noProof/>
        </w:rPr>
        <w:t>sensu Sereno, 1998</w:t>
      </w:r>
      <w:r>
        <w:rPr>
          <w:noProof/>
        </w:rPr>
        <w:t>)</w:t>
      </w:r>
      <w:r>
        <w:t>.</w:t>
      </w:r>
    </w:p>
    <w:p w14:paraId="6013391E" w14:textId="77777777" w:rsidR="00D361E3" w:rsidRDefault="00D361E3" w:rsidP="00366C66">
      <w:pPr>
        <w:spacing w:line="360" w:lineRule="auto"/>
      </w:pPr>
    </w:p>
    <w:p w14:paraId="5C832231" w14:textId="77777777" w:rsidR="00D361E3" w:rsidRDefault="00D361E3" w:rsidP="00F11485">
      <w:pPr>
        <w:spacing w:line="360" w:lineRule="auto"/>
      </w:pPr>
      <w:r>
        <w:rPr>
          <w:rFonts w:cs="Times New Roman"/>
          <w:b/>
        </w:rPr>
        <w:t>Neornithischia</w:t>
      </w:r>
      <w:r w:rsidRPr="00B8249B">
        <w:rPr>
          <w:rFonts w:cs="Times New Roman"/>
        </w:rPr>
        <w:t xml:space="preserve"> </w:t>
      </w:r>
      <w:r w:rsidRPr="00215FA7">
        <w:rPr>
          <w:noProof/>
        </w:rPr>
        <w:t>Cooper (1985)</w:t>
      </w:r>
      <w:r>
        <w:t>—</w:t>
      </w:r>
      <w:r>
        <w:rPr>
          <w:rFonts w:cs="Times New Roman"/>
        </w:rPr>
        <w:t>Stem</w:t>
      </w:r>
      <w:r w:rsidRPr="00B8249B">
        <w:rPr>
          <w:rFonts w:cs="Times New Roman"/>
        </w:rPr>
        <w:t xml:space="preserve">-based: the </w:t>
      </w:r>
      <w:r>
        <w:rPr>
          <w:rFonts w:cs="Times New Roman"/>
        </w:rPr>
        <w:t>most</w:t>
      </w:r>
      <w:r w:rsidRPr="00B8249B">
        <w:rPr>
          <w:rFonts w:cs="Times New Roman"/>
        </w:rPr>
        <w:t xml:space="preserve"> inclusive clade containing </w:t>
      </w:r>
      <w:r w:rsidRPr="00B8249B">
        <w:rPr>
          <w:rFonts w:cs="Times New Roman"/>
          <w:i/>
          <w:lang w:val="en-US"/>
        </w:rPr>
        <w:t>Triceratops</w:t>
      </w:r>
      <w:r w:rsidRPr="00B8249B">
        <w:rPr>
          <w:rFonts w:cs="Times New Roman"/>
          <w:lang w:val="en-US"/>
        </w:rPr>
        <w:t xml:space="preserve"> </w:t>
      </w:r>
      <w:r w:rsidRPr="00B8249B">
        <w:rPr>
          <w:rFonts w:cs="Times New Roman"/>
          <w:i/>
          <w:lang w:val="en-US"/>
        </w:rPr>
        <w:t>horridus</w:t>
      </w:r>
      <w:r w:rsidRPr="00B8249B">
        <w:rPr>
          <w:rFonts w:cs="Times New Roman"/>
          <w:lang w:val="en-US"/>
        </w:rPr>
        <w:t xml:space="preserve"> </w:t>
      </w:r>
      <w:r>
        <w:rPr>
          <w:rFonts w:cs="Times New Roman"/>
          <w:lang w:val="en-US"/>
        </w:rPr>
        <w:t xml:space="preserve">and </w:t>
      </w:r>
      <w:r>
        <w:rPr>
          <w:i/>
        </w:rPr>
        <w:t>Parasaurolophus</w:t>
      </w:r>
      <w:r>
        <w:t xml:space="preserve"> </w:t>
      </w:r>
      <w:r w:rsidRPr="005D64FC">
        <w:rPr>
          <w:i/>
        </w:rPr>
        <w:t>walkeri</w:t>
      </w:r>
      <w:r>
        <w:t xml:space="preserve"> </w:t>
      </w:r>
      <w:r>
        <w:rPr>
          <w:rFonts w:cs="Times New Roman"/>
          <w:lang w:val="en-US"/>
        </w:rPr>
        <w:t xml:space="preserve">but not </w:t>
      </w:r>
      <w:r>
        <w:rPr>
          <w:rFonts w:cs="Times New Roman"/>
          <w:i/>
        </w:rPr>
        <w:t>Ankylosaurus</w:t>
      </w:r>
      <w:r w:rsidRPr="00B8249B">
        <w:rPr>
          <w:rFonts w:cs="Times New Roman"/>
          <w:i/>
        </w:rPr>
        <w:t xml:space="preserve"> </w:t>
      </w:r>
      <w:r w:rsidRPr="00B8249B">
        <w:rPr>
          <w:rFonts w:cs="Times New Roman"/>
          <w:i/>
          <w:lang w:val="en-US"/>
        </w:rPr>
        <w:t>magniventris</w:t>
      </w:r>
      <w:r>
        <w:rPr>
          <w:rFonts w:cs="Times New Roman"/>
          <w:lang w:val="en-US"/>
        </w:rPr>
        <w:t xml:space="preserve"> </w:t>
      </w:r>
      <w:r>
        <w:rPr>
          <w:noProof/>
        </w:rPr>
        <w:t>(</w:t>
      </w:r>
      <w:r w:rsidRPr="00215FA7">
        <w:rPr>
          <w:noProof/>
        </w:rPr>
        <w:t>sensu Butler et al., 2008</w:t>
      </w:r>
      <w:r>
        <w:rPr>
          <w:noProof/>
        </w:rPr>
        <w:t>)</w:t>
      </w:r>
      <w:r>
        <w:t>.</w:t>
      </w:r>
    </w:p>
    <w:p w14:paraId="2DC39A07" w14:textId="77777777" w:rsidR="00D361E3" w:rsidRDefault="00D361E3" w:rsidP="00F11485">
      <w:pPr>
        <w:spacing w:line="360" w:lineRule="auto"/>
      </w:pPr>
    </w:p>
    <w:p w14:paraId="43F8CB6B" w14:textId="77777777" w:rsidR="00D361E3" w:rsidRPr="00F11485" w:rsidRDefault="00D361E3" w:rsidP="00F11485">
      <w:pPr>
        <w:spacing w:line="360" w:lineRule="auto"/>
      </w:pPr>
      <w:r w:rsidRPr="00F11485">
        <w:rPr>
          <w:b/>
        </w:rPr>
        <w:t>Jeholosauridae</w:t>
      </w:r>
      <w:r w:rsidRPr="00F11485">
        <w:t xml:space="preserve"> </w:t>
      </w:r>
      <w:r w:rsidRPr="00215FA7">
        <w:rPr>
          <w:noProof/>
        </w:rPr>
        <w:t>Han et al. (2012)</w:t>
      </w:r>
      <w:r w:rsidRPr="00F11485">
        <w:t>—</w:t>
      </w:r>
      <w:r w:rsidRPr="00F11485">
        <w:rPr>
          <w:rFonts w:cs="Times New Roman"/>
        </w:rPr>
        <w:t>Stem-based</w:t>
      </w:r>
      <w:r w:rsidRPr="00F11485">
        <w:t xml:space="preserve">: the most inclusive clade containing </w:t>
      </w:r>
      <w:r w:rsidRPr="00F11485">
        <w:rPr>
          <w:i/>
        </w:rPr>
        <w:t>Jeholosaurus</w:t>
      </w:r>
      <w:r w:rsidRPr="00F11485">
        <w:t xml:space="preserve"> </w:t>
      </w:r>
      <w:r w:rsidRPr="00F11485">
        <w:rPr>
          <w:rFonts w:cs="Times New Roman"/>
          <w:i/>
          <w:lang w:val="en-US"/>
        </w:rPr>
        <w:t>shangyuanensis</w:t>
      </w:r>
      <w:r w:rsidRPr="00F11485">
        <w:t xml:space="preserve"> but not </w:t>
      </w:r>
      <w:r w:rsidRPr="00F11485">
        <w:rPr>
          <w:rFonts w:cs="Times New Roman"/>
          <w:i/>
          <w:lang w:val="en-US"/>
        </w:rPr>
        <w:t>Hypsilophodon</w:t>
      </w:r>
      <w:r w:rsidRPr="00F11485">
        <w:rPr>
          <w:rFonts w:cs="Times New Roman"/>
          <w:lang w:val="en-US"/>
        </w:rPr>
        <w:t xml:space="preserve"> </w:t>
      </w:r>
      <w:r w:rsidRPr="00F11485">
        <w:rPr>
          <w:rFonts w:cs="Times New Roman"/>
          <w:i/>
          <w:lang w:val="en-US"/>
        </w:rPr>
        <w:t>foxii</w:t>
      </w:r>
      <w:r w:rsidRPr="00F11485">
        <w:rPr>
          <w:rFonts w:cs="Times New Roman"/>
          <w:lang w:val="en-US"/>
        </w:rPr>
        <w:t xml:space="preserve">, </w:t>
      </w:r>
      <w:r w:rsidRPr="00F11485">
        <w:rPr>
          <w:rFonts w:cs="Times New Roman"/>
          <w:i/>
          <w:lang w:val="en-US"/>
        </w:rPr>
        <w:t>Iguanodon</w:t>
      </w:r>
      <w:r w:rsidRPr="00F11485">
        <w:rPr>
          <w:rFonts w:cs="Times New Roman"/>
          <w:lang w:val="en-US"/>
        </w:rPr>
        <w:t xml:space="preserve"> </w:t>
      </w:r>
      <w:r w:rsidRPr="00F11485">
        <w:rPr>
          <w:rFonts w:cs="Times New Roman"/>
          <w:i/>
          <w:lang w:val="en-US"/>
        </w:rPr>
        <w:t>bernissartensis</w:t>
      </w:r>
      <w:r w:rsidRPr="00F11485">
        <w:rPr>
          <w:rFonts w:cs="Times New Roman"/>
          <w:lang w:val="en-US"/>
        </w:rPr>
        <w:t xml:space="preserve">, </w:t>
      </w:r>
      <w:r w:rsidRPr="00F11485">
        <w:rPr>
          <w:rFonts w:cs="Times New Roman"/>
          <w:i/>
          <w:lang w:val="en-US"/>
        </w:rPr>
        <w:t>Protoceratops</w:t>
      </w:r>
      <w:r w:rsidRPr="00F11485">
        <w:rPr>
          <w:rFonts w:cs="Times New Roman"/>
          <w:lang w:val="en-US"/>
        </w:rPr>
        <w:t xml:space="preserve"> </w:t>
      </w:r>
      <w:r w:rsidRPr="00F11485">
        <w:rPr>
          <w:rFonts w:cs="Times New Roman"/>
          <w:i/>
          <w:lang w:val="en-US"/>
        </w:rPr>
        <w:t>andrewsi</w:t>
      </w:r>
      <w:r w:rsidRPr="00F11485">
        <w:rPr>
          <w:rFonts w:cs="Times New Roman"/>
          <w:lang w:val="en-US"/>
        </w:rPr>
        <w:t xml:space="preserve">, </w:t>
      </w:r>
      <w:r w:rsidRPr="00F11485">
        <w:rPr>
          <w:rFonts w:cs="Times New Roman"/>
          <w:i/>
          <w:lang w:val="en-US"/>
        </w:rPr>
        <w:t>Pachycephalosaurus</w:t>
      </w:r>
      <w:r w:rsidRPr="00F11485">
        <w:rPr>
          <w:rFonts w:cs="Times New Roman"/>
          <w:lang w:val="en-US"/>
        </w:rPr>
        <w:t xml:space="preserve"> </w:t>
      </w:r>
      <w:r w:rsidRPr="00F11485">
        <w:rPr>
          <w:rFonts w:cs="Times New Roman"/>
          <w:i/>
          <w:lang w:val="en-US"/>
        </w:rPr>
        <w:t>wyomingensis</w:t>
      </w:r>
      <w:r w:rsidRPr="00F11485">
        <w:rPr>
          <w:rFonts w:cs="Times New Roman"/>
          <w:lang w:val="en-US"/>
        </w:rPr>
        <w:t xml:space="preserve"> or </w:t>
      </w:r>
      <w:r w:rsidRPr="00F11485">
        <w:rPr>
          <w:rFonts w:cs="Times New Roman"/>
          <w:i/>
          <w:lang w:val="en-US"/>
        </w:rPr>
        <w:t>Thescelosaurus</w:t>
      </w:r>
      <w:r w:rsidRPr="00F11485">
        <w:rPr>
          <w:rFonts w:cs="Times New Roman"/>
          <w:lang w:val="en-US"/>
        </w:rPr>
        <w:t xml:space="preserve"> </w:t>
      </w:r>
      <w:r w:rsidRPr="00F11485">
        <w:rPr>
          <w:rFonts w:cs="Times New Roman"/>
          <w:i/>
          <w:lang w:val="en-US"/>
        </w:rPr>
        <w:t>neglectus</w:t>
      </w:r>
      <w:r>
        <w:rPr>
          <w:rFonts w:cs="Times New Roman"/>
          <w:lang w:val="en-US"/>
        </w:rPr>
        <w:t xml:space="preserve"> </w:t>
      </w:r>
      <w:r>
        <w:rPr>
          <w:noProof/>
        </w:rPr>
        <w:t>(</w:t>
      </w:r>
      <w:r w:rsidRPr="00215FA7">
        <w:rPr>
          <w:noProof/>
        </w:rPr>
        <w:t>original definition of Han et al., 2012</w:t>
      </w:r>
      <w:r>
        <w:rPr>
          <w:noProof/>
        </w:rPr>
        <w:t>)</w:t>
      </w:r>
    </w:p>
    <w:p w14:paraId="3AA0AFA6" w14:textId="77777777" w:rsidR="00D361E3" w:rsidRDefault="00D361E3" w:rsidP="00366C66">
      <w:pPr>
        <w:spacing w:line="360" w:lineRule="auto"/>
      </w:pPr>
    </w:p>
    <w:p w14:paraId="417F3CBC" w14:textId="77777777" w:rsidR="00D361E3" w:rsidRDefault="00D361E3" w:rsidP="00366C66">
      <w:pPr>
        <w:spacing w:line="360" w:lineRule="auto"/>
      </w:pPr>
      <w:r w:rsidRPr="00144CE9">
        <w:rPr>
          <w:b/>
        </w:rPr>
        <w:t>Thescelosauridae</w:t>
      </w:r>
      <w:r>
        <w:t xml:space="preserve"> </w:t>
      </w:r>
      <w:r w:rsidRPr="00215FA7">
        <w:rPr>
          <w:noProof/>
        </w:rPr>
        <w:t>Sternberg (1937)</w:t>
      </w:r>
      <w:r>
        <w:t xml:space="preserve">—Node-based: </w:t>
      </w:r>
      <w:r w:rsidRPr="00B8249B">
        <w:rPr>
          <w:rFonts w:cs="Times New Roman"/>
        </w:rPr>
        <w:t xml:space="preserve">the least inclusive clade containing </w:t>
      </w:r>
      <w:r>
        <w:rPr>
          <w:rFonts w:cs="Times New Roman"/>
          <w:i/>
        </w:rPr>
        <w:t>Thescelosaurus neglectus</w:t>
      </w:r>
      <w:r>
        <w:rPr>
          <w:rFonts w:cs="Times New Roman"/>
          <w:lang w:val="en-US"/>
        </w:rPr>
        <w:t xml:space="preserve"> and </w:t>
      </w:r>
      <w:r>
        <w:rPr>
          <w:i/>
        </w:rPr>
        <w:t>Orodromeus makelai</w:t>
      </w:r>
      <w:r>
        <w:t xml:space="preserve">, but not </w:t>
      </w:r>
      <w:r w:rsidRPr="00144CE9">
        <w:rPr>
          <w:i/>
        </w:rPr>
        <w:t>Iguanodon</w:t>
      </w:r>
      <w:r>
        <w:t xml:space="preserve"> </w:t>
      </w:r>
      <w:r w:rsidRPr="00144CE9">
        <w:rPr>
          <w:i/>
        </w:rPr>
        <w:t>bernissartensis</w:t>
      </w:r>
      <w:r>
        <w:t xml:space="preserve"> </w:t>
      </w:r>
      <w:r>
        <w:rPr>
          <w:noProof/>
        </w:rPr>
        <w:t>(</w:t>
      </w:r>
      <w:r w:rsidRPr="00215FA7">
        <w:rPr>
          <w:noProof/>
        </w:rPr>
        <w:t>sensu Madzia et al., 2018: Supplemental Appendix 1</w:t>
      </w:r>
      <w:r>
        <w:rPr>
          <w:noProof/>
        </w:rPr>
        <w:t>)</w:t>
      </w:r>
      <w:r>
        <w:t>.</w:t>
      </w:r>
    </w:p>
    <w:p w14:paraId="4949D26F" w14:textId="77777777" w:rsidR="00D361E3" w:rsidRDefault="00D361E3" w:rsidP="003B7942">
      <w:pPr>
        <w:spacing w:line="360" w:lineRule="auto"/>
        <w:ind w:firstLine="284"/>
      </w:pPr>
      <w:r w:rsidRPr="001E4247">
        <w:t>Comment—</w:t>
      </w:r>
      <w:r>
        <w:t xml:space="preserve">In the scenario where this clade includes both </w:t>
      </w:r>
      <w:r w:rsidRPr="003B7942">
        <w:rPr>
          <w:i/>
        </w:rPr>
        <w:t>Parksosaurus</w:t>
      </w:r>
      <w:r>
        <w:t xml:space="preserve"> </w:t>
      </w:r>
      <w:r w:rsidRPr="003B7942">
        <w:rPr>
          <w:i/>
        </w:rPr>
        <w:t>warreni</w:t>
      </w:r>
      <w:r>
        <w:t xml:space="preserve"> and </w:t>
      </w:r>
      <w:r w:rsidRPr="007002E8">
        <w:rPr>
          <w:i/>
        </w:rPr>
        <w:t>Thescelosaurus</w:t>
      </w:r>
      <w:r>
        <w:t xml:space="preserve"> </w:t>
      </w:r>
      <w:r w:rsidRPr="007002E8">
        <w:rPr>
          <w:i/>
        </w:rPr>
        <w:t>neglectus</w:t>
      </w:r>
      <w:r>
        <w:t xml:space="preserve">, the name Thescelosauridae </w:t>
      </w:r>
      <w:r w:rsidRPr="00215FA7">
        <w:rPr>
          <w:noProof/>
        </w:rPr>
        <w:t>Sternberg (1937)</w:t>
      </w:r>
      <w:r>
        <w:t xml:space="preserve"> has priority over Parksosauridae </w:t>
      </w:r>
      <w:r>
        <w:rPr>
          <w:noProof/>
        </w:rPr>
        <w:t>(</w:t>
      </w:r>
      <w:r w:rsidRPr="00215FA7">
        <w:rPr>
          <w:noProof/>
        </w:rPr>
        <w:t>Buchholz, 2003</w:t>
      </w:r>
      <w:r>
        <w:rPr>
          <w:noProof/>
        </w:rPr>
        <w:t>)</w:t>
      </w:r>
      <w:r>
        <w:t xml:space="preserve"> by 66 years, and is contrary to some recent works that have instead misused the junior synonym </w:t>
      </w:r>
      <w:r>
        <w:rPr>
          <w:noProof/>
        </w:rPr>
        <w:t xml:space="preserve">(e.g., </w:t>
      </w:r>
      <w:r w:rsidRPr="00215FA7">
        <w:rPr>
          <w:noProof/>
        </w:rPr>
        <w:t>Boyd, 2015</w:t>
      </w:r>
      <w:r>
        <w:rPr>
          <w:noProof/>
        </w:rPr>
        <w:t xml:space="preserve">; </w:t>
      </w:r>
      <w:r w:rsidRPr="00215FA7">
        <w:rPr>
          <w:noProof/>
        </w:rPr>
        <w:t>Rivera-Sylva et al., 2018</w:t>
      </w:r>
      <w:r>
        <w:rPr>
          <w:noProof/>
        </w:rPr>
        <w:t>)</w:t>
      </w:r>
      <w:r>
        <w:t>.</w:t>
      </w:r>
    </w:p>
    <w:p w14:paraId="301AD9DF" w14:textId="77777777" w:rsidR="00D361E3" w:rsidRDefault="00D361E3" w:rsidP="00366C66">
      <w:pPr>
        <w:spacing w:line="360" w:lineRule="auto"/>
      </w:pPr>
    </w:p>
    <w:p w14:paraId="112508EC" w14:textId="77777777" w:rsidR="00D361E3" w:rsidRPr="008705C9" w:rsidRDefault="00D361E3" w:rsidP="00366C66">
      <w:pPr>
        <w:spacing w:line="360" w:lineRule="auto"/>
        <w:rPr>
          <w:rFonts w:cs="Times New Roman"/>
        </w:rPr>
      </w:pPr>
      <w:r w:rsidRPr="00135073">
        <w:rPr>
          <w:rFonts w:cs="Times New Roman"/>
          <w:b/>
        </w:rPr>
        <w:t>Elasmaria</w:t>
      </w:r>
      <w:r w:rsidRPr="008705C9">
        <w:rPr>
          <w:rFonts w:cs="Times New Roman"/>
        </w:rPr>
        <w:t xml:space="preserve"> </w:t>
      </w:r>
      <w:r w:rsidRPr="00215FA7">
        <w:rPr>
          <w:rFonts w:cs="Times New Roman"/>
          <w:noProof/>
        </w:rPr>
        <w:t>Calvo et al. (2007)</w:t>
      </w:r>
      <w:r w:rsidRPr="00135073">
        <w:rPr>
          <w:rFonts w:cs="Times New Roman"/>
        </w:rPr>
        <w:t>—</w:t>
      </w:r>
      <w:r>
        <w:rPr>
          <w:rFonts w:cs="Times New Roman"/>
        </w:rPr>
        <w:t>Stem</w:t>
      </w:r>
      <w:r w:rsidRPr="00135073">
        <w:rPr>
          <w:rFonts w:cs="Times New Roman"/>
        </w:rPr>
        <w:t>-based:</w:t>
      </w:r>
      <w:r w:rsidRPr="008705C9">
        <w:rPr>
          <w:rFonts w:cs="Times New Roman"/>
        </w:rPr>
        <w:t xml:space="preserve"> </w:t>
      </w:r>
      <w:r w:rsidRPr="00C1749A">
        <w:rPr>
          <w:rFonts w:cs="Times New Roman"/>
        </w:rPr>
        <w:t xml:space="preserve">the </w:t>
      </w:r>
      <w:r>
        <w:rPr>
          <w:rFonts w:cs="Times New Roman"/>
        </w:rPr>
        <w:t>most</w:t>
      </w:r>
      <w:r w:rsidRPr="00C1749A">
        <w:rPr>
          <w:rFonts w:cs="Times New Roman"/>
        </w:rPr>
        <w:t xml:space="preserve"> inclusive clade containing </w:t>
      </w:r>
      <w:r w:rsidRPr="009E286A">
        <w:rPr>
          <w:rFonts w:cs="Times New Roman"/>
          <w:i/>
          <w:lang w:val="en-US"/>
        </w:rPr>
        <w:t>Macrogryphosaurus</w:t>
      </w:r>
      <w:r w:rsidRPr="009E286A">
        <w:rPr>
          <w:rFonts w:cs="Times New Roman"/>
          <w:lang w:val="en-US"/>
        </w:rPr>
        <w:t xml:space="preserve"> </w:t>
      </w:r>
      <w:r w:rsidRPr="009E286A">
        <w:rPr>
          <w:rFonts w:cs="Times New Roman"/>
          <w:i/>
          <w:lang w:val="en-US"/>
        </w:rPr>
        <w:t>gondwanicus</w:t>
      </w:r>
      <w:r w:rsidRPr="009E286A">
        <w:rPr>
          <w:rFonts w:cs="Times New Roman"/>
          <w:lang w:val="en-US"/>
        </w:rPr>
        <w:t xml:space="preserve"> </w:t>
      </w:r>
      <w:r w:rsidRPr="00C1749A">
        <w:rPr>
          <w:rFonts w:cs="Times New Roman"/>
          <w:lang w:val="en-US"/>
        </w:rPr>
        <w:t xml:space="preserve">and </w:t>
      </w:r>
      <w:r w:rsidRPr="009E286A">
        <w:rPr>
          <w:rFonts w:cs="Times New Roman"/>
          <w:i/>
          <w:lang w:val="en-US"/>
        </w:rPr>
        <w:t>Talenkauen</w:t>
      </w:r>
      <w:r w:rsidRPr="009E286A">
        <w:rPr>
          <w:rFonts w:cs="Times New Roman"/>
          <w:lang w:val="en-US"/>
        </w:rPr>
        <w:t xml:space="preserve"> </w:t>
      </w:r>
      <w:r w:rsidRPr="009E286A">
        <w:rPr>
          <w:rFonts w:cs="Times New Roman"/>
          <w:i/>
          <w:lang w:val="en-US"/>
        </w:rPr>
        <w:t>santacrucensis</w:t>
      </w:r>
      <w:r w:rsidRPr="008705C9">
        <w:rPr>
          <w:rFonts w:cs="Times New Roman"/>
        </w:rPr>
        <w:t xml:space="preserve">, but not </w:t>
      </w:r>
      <w:r w:rsidRPr="00C1749A">
        <w:rPr>
          <w:rFonts w:cs="Times New Roman"/>
          <w:i/>
        </w:rPr>
        <w:t>Iguanodon</w:t>
      </w:r>
      <w:r w:rsidRPr="00C1749A">
        <w:rPr>
          <w:rFonts w:cs="Times New Roman"/>
        </w:rPr>
        <w:t xml:space="preserve"> </w:t>
      </w:r>
      <w:r w:rsidRPr="00C1749A">
        <w:rPr>
          <w:rFonts w:cs="Times New Roman"/>
          <w:i/>
        </w:rPr>
        <w:t>bernissartensis</w:t>
      </w:r>
      <w:r w:rsidRPr="00C1749A">
        <w:rPr>
          <w:rFonts w:cs="Times New Roman"/>
        </w:rPr>
        <w:t xml:space="preserve"> </w:t>
      </w:r>
      <w:r>
        <w:rPr>
          <w:rFonts w:cs="Times New Roman"/>
        </w:rPr>
        <w:t>or</w:t>
      </w:r>
      <w:r w:rsidRPr="00C1749A">
        <w:rPr>
          <w:rFonts w:cs="Times New Roman"/>
        </w:rPr>
        <w:t xml:space="preserve"> </w:t>
      </w:r>
      <w:r w:rsidRPr="009E286A">
        <w:rPr>
          <w:rFonts w:cs="Times New Roman"/>
          <w:i/>
        </w:rPr>
        <w:t>Hypsilophodon</w:t>
      </w:r>
      <w:r w:rsidRPr="00135073">
        <w:rPr>
          <w:rFonts w:cs="Times New Roman"/>
        </w:rPr>
        <w:t xml:space="preserve"> </w:t>
      </w:r>
      <w:r w:rsidRPr="008705C9">
        <w:rPr>
          <w:rFonts w:cs="Times New Roman"/>
          <w:i/>
        </w:rPr>
        <w:t>fox</w:t>
      </w:r>
      <w:r w:rsidRPr="009E286A">
        <w:rPr>
          <w:rFonts w:cs="Times New Roman"/>
          <w:i/>
        </w:rPr>
        <w:t>ii</w:t>
      </w:r>
      <w:r w:rsidRPr="00135073">
        <w:rPr>
          <w:rFonts w:cs="Times New Roman"/>
        </w:rPr>
        <w:t xml:space="preserve"> </w:t>
      </w:r>
      <w:r>
        <w:rPr>
          <w:rFonts w:cs="Times New Roman"/>
        </w:rPr>
        <w:t>(revised definition).</w:t>
      </w:r>
    </w:p>
    <w:p w14:paraId="54D3EF18" w14:textId="77777777" w:rsidR="00D361E3" w:rsidRDefault="00D361E3" w:rsidP="00C737BD">
      <w:pPr>
        <w:spacing w:line="360" w:lineRule="auto"/>
        <w:ind w:firstLine="284"/>
        <w:rPr>
          <w:rFonts w:cs="Times New Roman"/>
        </w:rPr>
      </w:pPr>
      <w:r w:rsidRPr="001E4247">
        <w:t>Comment—</w:t>
      </w:r>
      <w:r>
        <w:t xml:space="preserve">When originally established in </w:t>
      </w:r>
      <w:r w:rsidRPr="00215FA7">
        <w:rPr>
          <w:rFonts w:cs="Times New Roman"/>
          <w:noProof/>
        </w:rPr>
        <w:t>Calvo et al. (2007)</w:t>
      </w:r>
      <w:r>
        <w:rPr>
          <w:rFonts w:cs="Times New Roman"/>
        </w:rPr>
        <w:t xml:space="preserve">, the proposed definition of Elasmaria contained only the species </w:t>
      </w:r>
      <w:r w:rsidRPr="009E286A">
        <w:rPr>
          <w:rFonts w:cs="Times New Roman"/>
          <w:i/>
          <w:lang w:val="en-US"/>
        </w:rPr>
        <w:t>Macrogryphosaurus</w:t>
      </w:r>
      <w:r w:rsidRPr="009E286A">
        <w:rPr>
          <w:rFonts w:cs="Times New Roman"/>
          <w:lang w:val="en-US"/>
        </w:rPr>
        <w:t xml:space="preserve"> </w:t>
      </w:r>
      <w:r w:rsidRPr="009E286A">
        <w:rPr>
          <w:rFonts w:cs="Times New Roman"/>
          <w:i/>
          <w:lang w:val="en-US"/>
        </w:rPr>
        <w:t>gondwanicus</w:t>
      </w:r>
      <w:r w:rsidRPr="009E286A">
        <w:rPr>
          <w:rFonts w:cs="Times New Roman"/>
          <w:lang w:val="en-US"/>
        </w:rPr>
        <w:t xml:space="preserve"> </w:t>
      </w:r>
      <w:r w:rsidRPr="00C1749A">
        <w:rPr>
          <w:rFonts w:cs="Times New Roman"/>
          <w:lang w:val="en-US"/>
        </w:rPr>
        <w:t xml:space="preserve">and </w:t>
      </w:r>
      <w:r w:rsidRPr="009E286A">
        <w:rPr>
          <w:rFonts w:cs="Times New Roman"/>
          <w:i/>
          <w:lang w:val="en-US"/>
        </w:rPr>
        <w:t>Talenkauen</w:t>
      </w:r>
      <w:r w:rsidRPr="009E286A">
        <w:rPr>
          <w:rFonts w:cs="Times New Roman"/>
          <w:lang w:val="en-US"/>
        </w:rPr>
        <w:t xml:space="preserve"> </w:t>
      </w:r>
      <w:r w:rsidRPr="009E286A">
        <w:rPr>
          <w:rFonts w:cs="Times New Roman"/>
          <w:i/>
          <w:lang w:val="en-US"/>
        </w:rPr>
        <w:t>santacrucensis</w:t>
      </w:r>
      <w:r>
        <w:rPr>
          <w:rFonts w:cs="Times New Roman"/>
          <w:lang w:val="en-US"/>
        </w:rPr>
        <w:t>,</w:t>
      </w:r>
      <w:r>
        <w:rPr>
          <w:rFonts w:cs="Times New Roman"/>
        </w:rPr>
        <w:t xml:space="preserve"> implying it was a node-based clade (although not specified). This definition was reiterated by </w:t>
      </w:r>
      <w:r w:rsidRPr="00215FA7">
        <w:rPr>
          <w:noProof/>
        </w:rPr>
        <w:t>Madzia et al. (2018: Supplemental Appendix 1)</w:t>
      </w:r>
      <w:r>
        <w:t xml:space="preserve">. However, an issue with the original definition without external specifiers is that in situations where one of </w:t>
      </w:r>
      <w:r>
        <w:rPr>
          <w:rFonts w:cs="Times New Roman"/>
          <w:i/>
          <w:lang w:val="en-US"/>
        </w:rPr>
        <w:t>M.</w:t>
      </w:r>
      <w:r w:rsidRPr="00446129">
        <w:rPr>
          <w:rFonts w:cs="Times New Roman"/>
          <w:lang w:val="en-US"/>
        </w:rPr>
        <w:t xml:space="preserve"> </w:t>
      </w:r>
      <w:r w:rsidRPr="00446129">
        <w:rPr>
          <w:rFonts w:cs="Times New Roman"/>
          <w:i/>
          <w:lang w:val="en-US"/>
        </w:rPr>
        <w:t>gondwanicus</w:t>
      </w:r>
      <w:r w:rsidRPr="00446129">
        <w:rPr>
          <w:rFonts w:cs="Times New Roman"/>
          <w:lang w:val="en-US"/>
        </w:rPr>
        <w:t xml:space="preserve"> </w:t>
      </w:r>
      <w:r>
        <w:rPr>
          <w:rFonts w:cs="Times New Roman"/>
          <w:lang w:val="en-US"/>
        </w:rPr>
        <w:t>or</w:t>
      </w:r>
      <w:r w:rsidRPr="00C1749A">
        <w:rPr>
          <w:rFonts w:cs="Times New Roman"/>
          <w:lang w:val="en-US"/>
        </w:rPr>
        <w:t xml:space="preserve"> </w:t>
      </w:r>
      <w:r>
        <w:rPr>
          <w:rFonts w:cs="Times New Roman"/>
          <w:i/>
          <w:lang w:val="en-US"/>
        </w:rPr>
        <w:t>T.</w:t>
      </w:r>
      <w:r w:rsidRPr="00446129">
        <w:rPr>
          <w:rFonts w:cs="Times New Roman"/>
          <w:lang w:val="en-US"/>
        </w:rPr>
        <w:t xml:space="preserve"> </w:t>
      </w:r>
      <w:r w:rsidRPr="00446129">
        <w:rPr>
          <w:rFonts w:cs="Times New Roman"/>
          <w:i/>
          <w:lang w:val="en-US"/>
        </w:rPr>
        <w:t>santacrucensis</w:t>
      </w:r>
      <w:r>
        <w:rPr>
          <w:rFonts w:cs="Times New Roman"/>
        </w:rPr>
        <w:t xml:space="preserve"> </w:t>
      </w:r>
      <w:r>
        <w:t xml:space="preserve">is found to be closer to Iguanodontia than the other, Elasmaria would then include iguanodontians. In this scenario, depending on the position of the specifiers Elasmaria could become synonymous with Ornithopoda or Clypeodonta. Clearly, such an expansive application of the node Elasmaria was not originally intended. To avoid such a scenario, we augmented the definition in </w:t>
      </w:r>
      <w:r w:rsidRPr="00215FA7">
        <w:rPr>
          <w:noProof/>
        </w:rPr>
        <w:t>Madzia et al. (2018)</w:t>
      </w:r>
      <w:r>
        <w:t xml:space="preserve"> with external specifiers. Thus, if </w:t>
      </w:r>
      <w:r>
        <w:rPr>
          <w:rFonts w:cs="Times New Roman"/>
          <w:i/>
          <w:lang w:val="en-US"/>
        </w:rPr>
        <w:t>M.</w:t>
      </w:r>
      <w:r w:rsidRPr="00446129">
        <w:rPr>
          <w:rFonts w:cs="Times New Roman"/>
          <w:lang w:val="en-US"/>
        </w:rPr>
        <w:t xml:space="preserve"> </w:t>
      </w:r>
      <w:r w:rsidRPr="00446129">
        <w:rPr>
          <w:rFonts w:cs="Times New Roman"/>
          <w:i/>
          <w:lang w:val="en-US"/>
        </w:rPr>
        <w:t>gondwanicus</w:t>
      </w:r>
      <w:r w:rsidRPr="00446129">
        <w:rPr>
          <w:rFonts w:cs="Times New Roman"/>
          <w:lang w:val="en-US"/>
        </w:rPr>
        <w:t xml:space="preserve"> </w:t>
      </w:r>
      <w:r w:rsidRPr="00C1749A">
        <w:rPr>
          <w:rFonts w:cs="Times New Roman"/>
          <w:lang w:val="en-US"/>
        </w:rPr>
        <w:t xml:space="preserve">and </w:t>
      </w:r>
      <w:r>
        <w:rPr>
          <w:rFonts w:cs="Times New Roman"/>
          <w:i/>
          <w:lang w:val="en-US"/>
        </w:rPr>
        <w:t>T.</w:t>
      </w:r>
      <w:r w:rsidRPr="00446129">
        <w:rPr>
          <w:rFonts w:cs="Times New Roman"/>
          <w:lang w:val="en-US"/>
        </w:rPr>
        <w:t xml:space="preserve"> </w:t>
      </w:r>
      <w:r w:rsidRPr="00446129">
        <w:rPr>
          <w:rFonts w:cs="Times New Roman"/>
          <w:i/>
          <w:lang w:val="en-US"/>
        </w:rPr>
        <w:t>santacrucensis</w:t>
      </w:r>
      <w:r>
        <w:rPr>
          <w:rFonts w:cs="Times New Roman"/>
        </w:rPr>
        <w:t xml:space="preserve"> do ever form paraphyletic branches relative to more nested neornithischians, the revised ‘self-destructing’ aspect of the definition allows for its non-use.</w:t>
      </w:r>
    </w:p>
    <w:p w14:paraId="61884FBF" w14:textId="77777777" w:rsidR="00D361E3" w:rsidRPr="00047E83" w:rsidRDefault="00D361E3" w:rsidP="00C737BD">
      <w:pPr>
        <w:spacing w:line="360" w:lineRule="auto"/>
        <w:ind w:firstLine="284"/>
      </w:pPr>
      <w:r>
        <w:rPr>
          <w:rFonts w:cs="Times New Roman"/>
        </w:rPr>
        <w:t xml:space="preserve">Secondly, we have elected to </w:t>
      </w:r>
      <w:r w:rsidRPr="00693344">
        <w:rPr>
          <w:rFonts w:cs="Times New Roman"/>
          <w:b/>
        </w:rPr>
        <w:t>re-define Elasmaria as a stem- rather than node-based clade</w:t>
      </w:r>
      <w:r>
        <w:rPr>
          <w:rFonts w:cs="Times New Roman"/>
        </w:rPr>
        <w:t xml:space="preserve">. The exact arrangement within the taxic assemblage we consider to be ‘elasmarians’ is presently fluid and alters with minor adjustments in the underlying data </w:t>
      </w:r>
      <w:r>
        <w:rPr>
          <w:rFonts w:cs="Times New Roman"/>
          <w:noProof/>
        </w:rPr>
        <w:t>(see main text Figs. 26; also see Rozadilla et al., 2016: fig.7)</w:t>
      </w:r>
      <w:r>
        <w:rPr>
          <w:rFonts w:cs="Times New Roman"/>
        </w:rPr>
        <w:t xml:space="preserve">. One plausible topology is where </w:t>
      </w:r>
      <w:r>
        <w:rPr>
          <w:rFonts w:cs="Times New Roman"/>
          <w:i/>
          <w:lang w:val="en-US"/>
        </w:rPr>
        <w:t>M.</w:t>
      </w:r>
      <w:r w:rsidRPr="00446129">
        <w:rPr>
          <w:rFonts w:cs="Times New Roman"/>
          <w:lang w:val="en-US"/>
        </w:rPr>
        <w:t xml:space="preserve"> </w:t>
      </w:r>
      <w:r w:rsidRPr="00446129">
        <w:rPr>
          <w:rFonts w:cs="Times New Roman"/>
          <w:i/>
          <w:lang w:val="en-US"/>
        </w:rPr>
        <w:t>gondwanicus</w:t>
      </w:r>
      <w:r w:rsidRPr="00446129">
        <w:rPr>
          <w:rFonts w:cs="Times New Roman"/>
          <w:lang w:val="en-US"/>
        </w:rPr>
        <w:t xml:space="preserve"> </w:t>
      </w:r>
      <w:r>
        <w:rPr>
          <w:rFonts w:cs="Times New Roman"/>
          <w:lang w:val="en-US"/>
        </w:rPr>
        <w:t>and</w:t>
      </w:r>
      <w:r w:rsidRPr="00C1749A">
        <w:rPr>
          <w:rFonts w:cs="Times New Roman"/>
          <w:lang w:val="en-US"/>
        </w:rPr>
        <w:t xml:space="preserve"> </w:t>
      </w:r>
      <w:r>
        <w:rPr>
          <w:rFonts w:cs="Times New Roman"/>
          <w:i/>
          <w:lang w:val="en-US"/>
        </w:rPr>
        <w:t>T.</w:t>
      </w:r>
      <w:r w:rsidRPr="00446129">
        <w:rPr>
          <w:rFonts w:cs="Times New Roman"/>
          <w:lang w:val="en-US"/>
        </w:rPr>
        <w:t xml:space="preserve"> </w:t>
      </w:r>
      <w:r w:rsidRPr="00446129">
        <w:rPr>
          <w:rFonts w:cs="Times New Roman"/>
          <w:i/>
          <w:lang w:val="en-US"/>
        </w:rPr>
        <w:t>santacrucensis</w:t>
      </w:r>
      <w:r>
        <w:rPr>
          <w:rFonts w:cs="Times New Roman"/>
          <w:lang w:val="en-US"/>
        </w:rPr>
        <w:t xml:space="preserve"> are sister taxa nested inside a larger clade that includes other taxa such as </w:t>
      </w:r>
      <w:r w:rsidRPr="00EF06F8">
        <w:rPr>
          <w:rFonts w:cs="Times New Roman"/>
          <w:i/>
          <w:lang w:val="en-US"/>
        </w:rPr>
        <w:t>Anabisetia</w:t>
      </w:r>
      <w:r>
        <w:rPr>
          <w:rFonts w:cs="Times New Roman"/>
          <w:lang w:val="en-US"/>
        </w:rPr>
        <w:t xml:space="preserve"> or </w:t>
      </w:r>
      <w:r w:rsidRPr="00EF06F8">
        <w:rPr>
          <w:rFonts w:cs="Times New Roman"/>
          <w:i/>
          <w:lang w:val="en-US"/>
        </w:rPr>
        <w:t>Gasparinisaura</w:t>
      </w:r>
      <w:r>
        <w:rPr>
          <w:rFonts w:cs="Times New Roman"/>
          <w:lang w:val="en-US"/>
        </w:rPr>
        <w:t xml:space="preserve">. </w:t>
      </w:r>
      <w:r>
        <w:rPr>
          <w:rFonts w:cs="Times New Roman"/>
        </w:rPr>
        <w:t>In this scenario, retaining the node-based definition</w:t>
      </w:r>
      <w:r>
        <w:rPr>
          <w:rFonts w:cs="Times New Roman"/>
          <w:lang w:val="en-US"/>
        </w:rPr>
        <w:t xml:space="preserve"> would render the name only applicable to the limited </w:t>
      </w:r>
      <w:r>
        <w:rPr>
          <w:rFonts w:cs="Times New Roman"/>
          <w:i/>
          <w:lang w:val="en-US"/>
        </w:rPr>
        <w:t>M.</w:t>
      </w:r>
      <w:r w:rsidRPr="00446129">
        <w:rPr>
          <w:rFonts w:cs="Times New Roman"/>
          <w:lang w:val="en-US"/>
        </w:rPr>
        <w:t xml:space="preserve"> </w:t>
      </w:r>
      <w:r w:rsidRPr="00446129">
        <w:rPr>
          <w:rFonts w:cs="Times New Roman"/>
          <w:i/>
          <w:lang w:val="en-US"/>
        </w:rPr>
        <w:t>gondwanicus</w:t>
      </w:r>
      <w:r w:rsidRPr="00446129">
        <w:rPr>
          <w:rFonts w:cs="Times New Roman"/>
          <w:lang w:val="en-US"/>
        </w:rPr>
        <w:t xml:space="preserve"> </w:t>
      </w:r>
      <w:r>
        <w:rPr>
          <w:rFonts w:cs="Times New Roman"/>
          <w:lang w:val="en-US"/>
        </w:rPr>
        <w:t>+</w:t>
      </w:r>
      <w:r w:rsidRPr="00C1749A">
        <w:rPr>
          <w:rFonts w:cs="Times New Roman"/>
          <w:lang w:val="en-US"/>
        </w:rPr>
        <w:t xml:space="preserve"> </w:t>
      </w:r>
      <w:r>
        <w:rPr>
          <w:rFonts w:cs="Times New Roman"/>
          <w:i/>
          <w:lang w:val="en-US"/>
        </w:rPr>
        <w:t>T.</w:t>
      </w:r>
      <w:r w:rsidRPr="00446129">
        <w:rPr>
          <w:rFonts w:cs="Times New Roman"/>
          <w:lang w:val="en-US"/>
        </w:rPr>
        <w:t xml:space="preserve"> </w:t>
      </w:r>
      <w:r w:rsidRPr="00446129">
        <w:rPr>
          <w:rFonts w:cs="Times New Roman"/>
          <w:i/>
          <w:lang w:val="en-US"/>
        </w:rPr>
        <w:t>santacrucensis</w:t>
      </w:r>
      <w:r>
        <w:rPr>
          <w:rFonts w:cs="Times New Roman"/>
          <w:lang w:val="en-US"/>
        </w:rPr>
        <w:t xml:space="preserve"> node, while the larger clade would be without a name. Given that the larger plexus of taxa is under more consideration, both in this work and recently by others </w:t>
      </w:r>
      <w:r>
        <w:rPr>
          <w:noProof/>
        </w:rPr>
        <w:t>(e.g., Rozadilla et al., 2016; Madzia et al., 2018)</w:t>
      </w:r>
      <w:r>
        <w:t>, the best practice would be to reallocate use of the name Elasmaria to this context, rather than create new names (particularly for poorly supported clades).</w:t>
      </w:r>
    </w:p>
    <w:p w14:paraId="45683F08" w14:textId="77777777" w:rsidR="00D361E3" w:rsidRDefault="00D361E3" w:rsidP="00366C66">
      <w:pPr>
        <w:spacing w:line="360" w:lineRule="auto"/>
        <w:rPr>
          <w:b/>
        </w:rPr>
      </w:pPr>
    </w:p>
    <w:p w14:paraId="4B46FE48" w14:textId="77777777" w:rsidR="00D361E3" w:rsidRDefault="00D361E3" w:rsidP="00366C66">
      <w:pPr>
        <w:spacing w:line="360" w:lineRule="auto"/>
      </w:pPr>
      <w:r>
        <w:rPr>
          <w:b/>
        </w:rPr>
        <w:t>Clypeodonta</w:t>
      </w:r>
      <w:r>
        <w:t xml:space="preserve"> </w:t>
      </w:r>
      <w:r w:rsidRPr="00215FA7">
        <w:rPr>
          <w:noProof/>
        </w:rPr>
        <w:t>Norman (2014)</w:t>
      </w:r>
      <w:r>
        <w:t xml:space="preserve">—Node-based: the least inclusive clade containing </w:t>
      </w:r>
      <w:r>
        <w:rPr>
          <w:i/>
        </w:rPr>
        <w:t>Hypsilophodon foxii</w:t>
      </w:r>
      <w:r>
        <w:t xml:space="preserve"> and </w:t>
      </w:r>
      <w:r>
        <w:rPr>
          <w:i/>
        </w:rPr>
        <w:t>Edmontosaurus regalis</w:t>
      </w:r>
      <w:r>
        <w:t xml:space="preserve"> </w:t>
      </w:r>
      <w:r>
        <w:rPr>
          <w:noProof/>
        </w:rPr>
        <w:t>(</w:t>
      </w:r>
      <w:r w:rsidRPr="00215FA7">
        <w:rPr>
          <w:noProof/>
        </w:rPr>
        <w:t>sensu Norman, 2015</w:t>
      </w:r>
      <w:r>
        <w:rPr>
          <w:noProof/>
        </w:rPr>
        <w:t xml:space="preserve">; </w:t>
      </w:r>
      <w:r w:rsidRPr="00215FA7">
        <w:rPr>
          <w:noProof/>
        </w:rPr>
        <w:t>for additional remarks pertinent to the prevailing use of Clypeodonta in this work, see Madzia et al., 2018: Supplemental Appendix 1</w:t>
      </w:r>
      <w:r>
        <w:rPr>
          <w:noProof/>
        </w:rPr>
        <w:t>)</w:t>
      </w:r>
      <w:r>
        <w:t>.</w:t>
      </w:r>
    </w:p>
    <w:p w14:paraId="7D95EAF7" w14:textId="77777777" w:rsidR="00D361E3" w:rsidRDefault="00D361E3" w:rsidP="00366C66">
      <w:pPr>
        <w:spacing w:line="360" w:lineRule="auto"/>
      </w:pPr>
    </w:p>
    <w:p w14:paraId="7B640BA0" w14:textId="77777777" w:rsidR="00D361E3" w:rsidRDefault="00D361E3" w:rsidP="00366C66">
      <w:pPr>
        <w:spacing w:line="360" w:lineRule="auto"/>
      </w:pPr>
      <w:r>
        <w:rPr>
          <w:b/>
        </w:rPr>
        <w:t xml:space="preserve">Cerapoda </w:t>
      </w:r>
      <w:r w:rsidRPr="00215FA7">
        <w:rPr>
          <w:noProof/>
        </w:rPr>
        <w:t>Sereno (1986)</w:t>
      </w:r>
      <w:r>
        <w:t xml:space="preserve">—Node-based: the least inclusive clade containing </w:t>
      </w:r>
      <w:r>
        <w:rPr>
          <w:i/>
        </w:rPr>
        <w:t>Triceratops</w:t>
      </w:r>
      <w:r>
        <w:t xml:space="preserve"> </w:t>
      </w:r>
      <w:r>
        <w:rPr>
          <w:i/>
        </w:rPr>
        <w:t>horridus</w:t>
      </w:r>
      <w:r>
        <w:t xml:space="preserve"> and </w:t>
      </w:r>
      <w:r>
        <w:rPr>
          <w:i/>
        </w:rPr>
        <w:t>Parasaurolophus</w:t>
      </w:r>
      <w:r>
        <w:t xml:space="preserve"> </w:t>
      </w:r>
      <w:r w:rsidRPr="005D64FC">
        <w:rPr>
          <w:i/>
        </w:rPr>
        <w:t>walkeri</w:t>
      </w:r>
      <w:r>
        <w:t xml:space="preserve"> </w:t>
      </w:r>
      <w:r>
        <w:rPr>
          <w:noProof/>
        </w:rPr>
        <w:t>(</w:t>
      </w:r>
      <w:r w:rsidRPr="00215FA7">
        <w:rPr>
          <w:noProof/>
        </w:rPr>
        <w:t>sensu Butler et al., 2008</w:t>
      </w:r>
      <w:r>
        <w:rPr>
          <w:noProof/>
        </w:rPr>
        <w:t>)</w:t>
      </w:r>
      <w:r>
        <w:t>.</w:t>
      </w:r>
    </w:p>
    <w:p w14:paraId="481EE9BE" w14:textId="77777777" w:rsidR="00D361E3" w:rsidRDefault="00D361E3" w:rsidP="00366C66">
      <w:pPr>
        <w:spacing w:line="360" w:lineRule="auto"/>
      </w:pPr>
    </w:p>
    <w:p w14:paraId="64F9F829" w14:textId="77777777" w:rsidR="00D361E3" w:rsidRDefault="00D361E3" w:rsidP="00366C66">
      <w:pPr>
        <w:spacing w:line="360" w:lineRule="auto"/>
      </w:pPr>
      <w:r>
        <w:rPr>
          <w:b/>
        </w:rPr>
        <w:t xml:space="preserve">Marginocephalia </w:t>
      </w:r>
      <w:r w:rsidRPr="00215FA7">
        <w:rPr>
          <w:noProof/>
        </w:rPr>
        <w:t>Sereno (1986)</w:t>
      </w:r>
      <w:r>
        <w:t xml:space="preserve">—Stem-based: the most inclusive clade containing </w:t>
      </w:r>
      <w:r>
        <w:rPr>
          <w:i/>
        </w:rPr>
        <w:t>Triceratops</w:t>
      </w:r>
      <w:r>
        <w:t xml:space="preserve"> </w:t>
      </w:r>
      <w:r>
        <w:rPr>
          <w:i/>
        </w:rPr>
        <w:t>horridus</w:t>
      </w:r>
      <w:r>
        <w:t xml:space="preserve"> and </w:t>
      </w:r>
      <w:r w:rsidRPr="00A21B75">
        <w:rPr>
          <w:i/>
        </w:rPr>
        <w:t>Pachycephalosaur</w:t>
      </w:r>
      <w:r>
        <w:rPr>
          <w:i/>
        </w:rPr>
        <w:t>us</w:t>
      </w:r>
      <w:r>
        <w:t xml:space="preserve"> </w:t>
      </w:r>
      <w:r w:rsidRPr="00A21B75">
        <w:rPr>
          <w:i/>
        </w:rPr>
        <w:t>wyomingensis</w:t>
      </w:r>
      <w:r>
        <w:t xml:space="preserve"> but not </w:t>
      </w:r>
      <w:r>
        <w:rPr>
          <w:i/>
        </w:rPr>
        <w:t>Parasaurolophus</w:t>
      </w:r>
      <w:r>
        <w:t xml:space="preserve"> </w:t>
      </w:r>
      <w:r w:rsidRPr="005D64FC">
        <w:rPr>
          <w:i/>
        </w:rPr>
        <w:t>walkeri</w:t>
      </w:r>
      <w:r>
        <w:t xml:space="preserve"> (new revised definition).</w:t>
      </w:r>
    </w:p>
    <w:p w14:paraId="64B22A70" w14:textId="77777777" w:rsidR="00D361E3" w:rsidRPr="001E4247" w:rsidRDefault="00D361E3" w:rsidP="00366C66">
      <w:pPr>
        <w:spacing w:line="360" w:lineRule="auto"/>
        <w:ind w:firstLine="284"/>
      </w:pPr>
      <w:r w:rsidRPr="001E4247">
        <w:t xml:space="preserve">Comment—Concurrent definitions of Marginocephalia are node-based, employing ceratopsian and pachycephalosaurian taxa as internal specifiers </w:t>
      </w:r>
      <w:r>
        <w:rPr>
          <w:noProof/>
        </w:rPr>
        <w:t>(</w:t>
      </w:r>
      <w:r w:rsidRPr="00215FA7">
        <w:rPr>
          <w:noProof/>
        </w:rPr>
        <w:t>e.g., Madzia et al., 2018: Supplemental Appendix 1</w:t>
      </w:r>
      <w:r>
        <w:rPr>
          <w:noProof/>
        </w:rPr>
        <w:t>)</w:t>
      </w:r>
      <w:r>
        <w:t xml:space="preserve">. However, such </w:t>
      </w:r>
      <w:r w:rsidRPr="001E4247">
        <w:t>definition</w:t>
      </w:r>
      <w:r>
        <w:t>s are</w:t>
      </w:r>
      <w:r w:rsidRPr="001E4247">
        <w:t xml:space="preserve"> not complementary with present definitions of Cerapoda and Ornithopoda within a node-stem triplet arrangement of clades </w:t>
      </w:r>
      <w:r>
        <w:rPr>
          <w:noProof/>
        </w:rPr>
        <w:t>(</w:t>
      </w:r>
      <w:r w:rsidRPr="00215FA7">
        <w:rPr>
          <w:noProof/>
        </w:rPr>
        <w:t>Sereno, 1998</w:t>
      </w:r>
      <w:r>
        <w:rPr>
          <w:noProof/>
        </w:rPr>
        <w:t xml:space="preserve">; </w:t>
      </w:r>
      <w:r w:rsidRPr="00215FA7">
        <w:rPr>
          <w:noProof/>
        </w:rPr>
        <w:t>Sereno, 1999</w:t>
      </w:r>
      <w:r>
        <w:rPr>
          <w:noProof/>
        </w:rPr>
        <w:t>)</w:t>
      </w:r>
      <w:r w:rsidRPr="001E4247">
        <w:t xml:space="preserve">. Here, re-definition of Marginocephalia as a stem now mirrors its sister stem clade, Ornithopoda, within a node-based Cerapoda. </w:t>
      </w:r>
      <w:r>
        <w:t>As a result, this</w:t>
      </w:r>
      <w:r w:rsidRPr="001E4247">
        <w:t xml:space="preserve"> stabilization of definition allows for the definitive </w:t>
      </w:r>
      <w:r>
        <w:t>assignment</w:t>
      </w:r>
      <w:r w:rsidRPr="001E4247">
        <w:t xml:space="preserve"> of </w:t>
      </w:r>
      <w:r>
        <w:t xml:space="preserve">all </w:t>
      </w:r>
      <w:r w:rsidRPr="001E4247">
        <w:t xml:space="preserve">cerapodan </w:t>
      </w:r>
      <w:r>
        <w:t>OTUs either as ornithopods</w:t>
      </w:r>
      <w:r w:rsidRPr="001E4247">
        <w:t xml:space="preserve"> or marginocephalian</w:t>
      </w:r>
      <w:r>
        <w:t>s</w:t>
      </w:r>
      <w:r w:rsidRPr="001E4247">
        <w:t>.</w:t>
      </w:r>
    </w:p>
    <w:p w14:paraId="2212F9F5" w14:textId="77777777" w:rsidR="00D361E3" w:rsidRDefault="00D361E3" w:rsidP="00366C66">
      <w:pPr>
        <w:spacing w:line="360" w:lineRule="auto"/>
        <w:ind w:firstLine="284"/>
      </w:pPr>
      <w:r w:rsidRPr="001E4247">
        <w:t xml:space="preserve">The re-definition does not have a bearing on the referral of existing ‘basal’ marginocephalian OTUs to either the ceratopsian and pachycephalosaurian </w:t>
      </w:r>
      <w:r>
        <w:t xml:space="preserve">stem </w:t>
      </w:r>
      <w:r w:rsidRPr="001E4247">
        <w:t>lineage</w:t>
      </w:r>
      <w:r>
        <w:t>s. This is because so far no taxa</w:t>
      </w:r>
      <w:r w:rsidRPr="001E4247">
        <w:t xml:space="preserve"> have been </w:t>
      </w:r>
      <w:r>
        <w:t>consistently</w:t>
      </w:r>
      <w:r w:rsidRPr="001E4247">
        <w:t xml:space="preserve"> referred</w:t>
      </w:r>
      <w:r>
        <w:t xml:space="preserve"> with robust support</w:t>
      </w:r>
      <w:r w:rsidRPr="001E4247">
        <w:t xml:space="preserve"> to the base of the </w:t>
      </w:r>
      <w:r w:rsidR="002F322D">
        <w:t>“</w:t>
      </w:r>
      <w:r w:rsidRPr="001E4247">
        <w:t>marginocephalian stem</w:t>
      </w:r>
      <w:r w:rsidR="002F322D">
        <w:t>”</w:t>
      </w:r>
      <w:r>
        <w:t xml:space="preserve"> (</w:t>
      </w:r>
      <w:r w:rsidRPr="00FC291D">
        <w:rPr>
          <w:i/>
        </w:rPr>
        <w:t>sensu</w:t>
      </w:r>
      <w:r>
        <w:t xml:space="preserve"> </w:t>
      </w:r>
      <w:r w:rsidRPr="00FC291D">
        <w:rPr>
          <w:i/>
        </w:rPr>
        <w:t>lato</w:t>
      </w:r>
      <w:r>
        <w:t>)</w:t>
      </w:r>
      <w:r w:rsidRPr="001E4247">
        <w:t xml:space="preserve"> but outside the </w:t>
      </w:r>
      <w:r w:rsidRPr="00AE623B">
        <w:rPr>
          <w:i/>
        </w:rPr>
        <w:t>now</w:t>
      </w:r>
      <w:r>
        <w:t xml:space="preserve"> unnamed node </w:t>
      </w:r>
      <w:r w:rsidR="002F322D">
        <w:t>“Ceratopsia+Pachycephalosauria.”</w:t>
      </w:r>
      <w:r w:rsidRPr="001E4247">
        <w:t xml:space="preserve"> If such a</w:t>
      </w:r>
      <w:r>
        <w:t xml:space="preserve"> potential situation arises</w:t>
      </w:r>
      <w:r w:rsidRPr="001E4247">
        <w:t xml:space="preserve">, the arrangement and definitions of clades within Marginocephalia will require </w:t>
      </w:r>
      <w:r>
        <w:t xml:space="preserve">additional </w:t>
      </w:r>
      <w:r w:rsidRPr="001E4247">
        <w:t>revision.</w:t>
      </w:r>
    </w:p>
    <w:p w14:paraId="4D0BFBBA" w14:textId="77777777" w:rsidR="00D361E3" w:rsidRDefault="00D361E3" w:rsidP="00366C66">
      <w:pPr>
        <w:spacing w:line="360" w:lineRule="auto"/>
        <w:ind w:firstLine="284"/>
      </w:pPr>
    </w:p>
    <w:p w14:paraId="5FC4F299" w14:textId="77777777" w:rsidR="00D361E3" w:rsidRPr="001E4247" w:rsidRDefault="00D361E3" w:rsidP="00366C66">
      <w:pPr>
        <w:spacing w:line="360" w:lineRule="auto"/>
      </w:pPr>
      <w:r>
        <w:rPr>
          <w:b/>
        </w:rPr>
        <w:t>Ornithopoda</w:t>
      </w:r>
      <w:r>
        <w:t xml:space="preserve"> </w:t>
      </w:r>
      <w:r>
        <w:rPr>
          <w:noProof/>
        </w:rPr>
        <w:t>(</w:t>
      </w:r>
      <w:r w:rsidRPr="00215FA7">
        <w:rPr>
          <w:noProof/>
        </w:rPr>
        <w:t>Marsh, 1881</w:t>
      </w:r>
      <w:r>
        <w:rPr>
          <w:noProof/>
        </w:rPr>
        <w:t>)</w:t>
      </w:r>
      <w:r>
        <w:t xml:space="preserve">—Stem-based: the most inclusive clade containing </w:t>
      </w:r>
      <w:r>
        <w:rPr>
          <w:i/>
        </w:rPr>
        <w:t>Parasaurolophus</w:t>
      </w:r>
      <w:r>
        <w:t xml:space="preserve"> </w:t>
      </w:r>
      <w:r w:rsidRPr="005D64FC">
        <w:rPr>
          <w:i/>
        </w:rPr>
        <w:t>walkeri</w:t>
      </w:r>
      <w:r>
        <w:t xml:space="preserve"> but not </w:t>
      </w:r>
      <w:r>
        <w:rPr>
          <w:i/>
        </w:rPr>
        <w:t>Triceratops</w:t>
      </w:r>
      <w:r>
        <w:t xml:space="preserve"> </w:t>
      </w:r>
      <w:r>
        <w:rPr>
          <w:i/>
        </w:rPr>
        <w:t>horridus</w:t>
      </w:r>
      <w:r>
        <w:t xml:space="preserve"> or </w:t>
      </w:r>
      <w:r w:rsidRPr="00A21B75">
        <w:rPr>
          <w:i/>
        </w:rPr>
        <w:t>Pachycephalosaur</w:t>
      </w:r>
      <w:r>
        <w:rPr>
          <w:i/>
        </w:rPr>
        <w:t>us</w:t>
      </w:r>
      <w:r>
        <w:t xml:space="preserve"> </w:t>
      </w:r>
      <w:r w:rsidRPr="00A21B75">
        <w:rPr>
          <w:i/>
        </w:rPr>
        <w:t>wyomingensis</w:t>
      </w:r>
      <w:r>
        <w:t xml:space="preserve"> </w:t>
      </w:r>
      <w:r>
        <w:rPr>
          <w:noProof/>
        </w:rPr>
        <w:t>(</w:t>
      </w:r>
      <w:r w:rsidRPr="00215FA7">
        <w:rPr>
          <w:noProof/>
        </w:rPr>
        <w:t>modified from the definition of Madzia et al., 2018: Supplemental Appendix 1</w:t>
      </w:r>
      <w:r>
        <w:rPr>
          <w:noProof/>
        </w:rPr>
        <w:t>)</w:t>
      </w:r>
      <w:r>
        <w:t>.</w:t>
      </w:r>
    </w:p>
    <w:p w14:paraId="219BC43B" w14:textId="77777777" w:rsidR="00D361E3" w:rsidRDefault="00D361E3" w:rsidP="00366C66">
      <w:pPr>
        <w:spacing w:line="360" w:lineRule="auto"/>
        <w:ind w:firstLine="284"/>
      </w:pPr>
    </w:p>
    <w:p w14:paraId="6FC3CD71" w14:textId="77777777" w:rsidR="00D361E3" w:rsidRDefault="00D361E3" w:rsidP="00366C66">
      <w:pPr>
        <w:spacing w:line="360" w:lineRule="auto"/>
      </w:pPr>
      <w:r w:rsidRPr="002A4C26">
        <w:rPr>
          <w:b/>
        </w:rPr>
        <w:t>Iguanodontia</w:t>
      </w:r>
      <w:r>
        <w:t xml:space="preserve"> </w:t>
      </w:r>
      <w:r>
        <w:rPr>
          <w:noProof/>
        </w:rPr>
        <w:t>(</w:t>
      </w:r>
      <w:r w:rsidRPr="00215FA7">
        <w:rPr>
          <w:noProof/>
        </w:rPr>
        <w:t>Baur, 1891</w:t>
      </w:r>
      <w:r>
        <w:rPr>
          <w:noProof/>
        </w:rPr>
        <w:t>)</w:t>
      </w:r>
      <w:r>
        <w:t xml:space="preserve">—Node-based: the least inclusive clade containing </w:t>
      </w:r>
      <w:r w:rsidRPr="00144CE9">
        <w:rPr>
          <w:i/>
        </w:rPr>
        <w:t>Iguanodon</w:t>
      </w:r>
      <w:r>
        <w:t xml:space="preserve"> </w:t>
      </w:r>
      <w:r w:rsidRPr="00144CE9">
        <w:rPr>
          <w:i/>
        </w:rPr>
        <w:t>bernissartensis</w:t>
      </w:r>
      <w:r>
        <w:t xml:space="preserve">, </w:t>
      </w:r>
      <w:r w:rsidRPr="00317887">
        <w:rPr>
          <w:i/>
        </w:rPr>
        <w:t>Dryosaurus</w:t>
      </w:r>
      <w:r>
        <w:t xml:space="preserve"> </w:t>
      </w:r>
      <w:r w:rsidRPr="00317887">
        <w:rPr>
          <w:i/>
        </w:rPr>
        <w:t>altus</w:t>
      </w:r>
      <w:r>
        <w:t xml:space="preserve">, </w:t>
      </w:r>
      <w:r w:rsidRPr="00317887">
        <w:rPr>
          <w:i/>
        </w:rPr>
        <w:t>Rhabdodon</w:t>
      </w:r>
      <w:r>
        <w:t xml:space="preserve"> </w:t>
      </w:r>
      <w:r w:rsidRPr="00317887">
        <w:rPr>
          <w:i/>
        </w:rPr>
        <w:t>priscus</w:t>
      </w:r>
      <w:r>
        <w:t xml:space="preserve">, and </w:t>
      </w:r>
      <w:r w:rsidRPr="00317887">
        <w:rPr>
          <w:i/>
        </w:rPr>
        <w:t>Tenontosaurus</w:t>
      </w:r>
      <w:r>
        <w:t xml:space="preserve"> </w:t>
      </w:r>
      <w:r w:rsidRPr="00317887">
        <w:rPr>
          <w:i/>
        </w:rPr>
        <w:t>tilletti</w:t>
      </w:r>
      <w:r>
        <w:t xml:space="preserve">, but not </w:t>
      </w:r>
      <w:r>
        <w:rPr>
          <w:i/>
        </w:rPr>
        <w:t>Triceratops</w:t>
      </w:r>
      <w:r>
        <w:t xml:space="preserve"> </w:t>
      </w:r>
      <w:r>
        <w:rPr>
          <w:i/>
        </w:rPr>
        <w:t>horridus</w:t>
      </w:r>
      <w:r>
        <w:t xml:space="preserve"> </w:t>
      </w:r>
      <w:r>
        <w:rPr>
          <w:noProof/>
        </w:rPr>
        <w:t>(</w:t>
      </w:r>
      <w:r w:rsidRPr="00215FA7">
        <w:rPr>
          <w:noProof/>
        </w:rPr>
        <w:t>modified from the definition of Madzia et al., 2018: Supplemental Appendix 1</w:t>
      </w:r>
      <w:r>
        <w:rPr>
          <w:noProof/>
        </w:rPr>
        <w:t>)</w:t>
      </w:r>
      <w:r>
        <w:t>.</w:t>
      </w:r>
    </w:p>
    <w:p w14:paraId="45AD693A" w14:textId="77777777" w:rsidR="00D361E3" w:rsidRPr="001E4247" w:rsidRDefault="00D361E3" w:rsidP="00366C66">
      <w:pPr>
        <w:spacing w:line="360" w:lineRule="auto"/>
        <w:ind w:firstLine="284"/>
      </w:pPr>
      <w:r w:rsidRPr="001E4247">
        <w:t>Comment—</w:t>
      </w:r>
      <w:r>
        <w:t xml:space="preserve">(1) </w:t>
      </w:r>
      <w:r w:rsidRPr="001E4247">
        <w:t xml:space="preserve">It is worth stressing that the current definition of Iguanodontia that we follow is much more inclusive than other concepts of Iguanodontia </w:t>
      </w:r>
      <w:r>
        <w:rPr>
          <w:noProof/>
        </w:rPr>
        <w:t>(</w:t>
      </w:r>
      <w:r w:rsidRPr="00215FA7">
        <w:rPr>
          <w:noProof/>
        </w:rPr>
        <w:t>e.g., Norman, 2015</w:t>
      </w:r>
      <w:r>
        <w:rPr>
          <w:noProof/>
        </w:rPr>
        <w:t>)</w:t>
      </w:r>
      <w:r w:rsidRPr="001E4247">
        <w:t xml:space="preserve">, by virtue of </w:t>
      </w:r>
      <w:r w:rsidRPr="001E4247">
        <w:rPr>
          <w:i/>
        </w:rPr>
        <w:t>active</w:t>
      </w:r>
      <w:r w:rsidRPr="001E4247">
        <w:t xml:space="preserve"> inclusion of rhabdodontids and </w:t>
      </w:r>
      <w:r w:rsidRPr="001E4247">
        <w:rPr>
          <w:i/>
        </w:rPr>
        <w:t>Tenontosaurus</w:t>
      </w:r>
      <w:r w:rsidRPr="001E4247">
        <w:t>. Nonetheless, the possibility</w:t>
      </w:r>
      <w:r>
        <w:t>, albeit highly remote,</w:t>
      </w:r>
      <w:r w:rsidRPr="001E4247">
        <w:t xml:space="preserve"> that the internal specifiers </w:t>
      </w:r>
      <w:r w:rsidRPr="001E4247">
        <w:rPr>
          <w:i/>
        </w:rPr>
        <w:t>Rhabdodon</w:t>
      </w:r>
      <w:r w:rsidRPr="001E4247">
        <w:t xml:space="preserve"> </w:t>
      </w:r>
      <w:r w:rsidRPr="001E4247">
        <w:rPr>
          <w:i/>
        </w:rPr>
        <w:t>priscus</w:t>
      </w:r>
      <w:r w:rsidRPr="001E4247">
        <w:t xml:space="preserve">, and </w:t>
      </w:r>
      <w:r w:rsidRPr="001E4247">
        <w:rPr>
          <w:i/>
        </w:rPr>
        <w:t>Tenontosaurus</w:t>
      </w:r>
      <w:r w:rsidRPr="001E4247">
        <w:t xml:space="preserve"> </w:t>
      </w:r>
      <w:r w:rsidRPr="001E4247">
        <w:rPr>
          <w:i/>
        </w:rPr>
        <w:t>tilletti</w:t>
      </w:r>
      <w:r w:rsidRPr="001E4247">
        <w:t xml:space="preserve"> might be found in a position outside of Cerapoda by some analyses, rendering the clades Iguanodontia and Cerapoda synonyms if the </w:t>
      </w:r>
      <w:r>
        <w:t>clade definitions of Madzia et al. (2018</w:t>
      </w:r>
      <w:r w:rsidRPr="001E4247">
        <w:t xml:space="preserve">) </w:t>
      </w:r>
      <w:r>
        <w:t>are strictly</w:t>
      </w:r>
      <w:r w:rsidRPr="001E4247">
        <w:t xml:space="preserve"> followed. Our </w:t>
      </w:r>
      <w:r>
        <w:t>addition</w:t>
      </w:r>
      <w:r w:rsidRPr="001E4247">
        <w:t xml:space="preserve"> of </w:t>
      </w:r>
      <w:r>
        <w:t xml:space="preserve">an external specifier, </w:t>
      </w:r>
      <w:r w:rsidRPr="001E4247">
        <w:rPr>
          <w:i/>
        </w:rPr>
        <w:t>Triceratops</w:t>
      </w:r>
      <w:r w:rsidRPr="001E4247">
        <w:t xml:space="preserve"> </w:t>
      </w:r>
      <w:r w:rsidRPr="001E4247">
        <w:rPr>
          <w:i/>
        </w:rPr>
        <w:t>horridus</w:t>
      </w:r>
      <w:r>
        <w:t xml:space="preserve">, </w:t>
      </w:r>
      <w:r w:rsidRPr="001E4247">
        <w:t xml:space="preserve">attempts to prevent such a </w:t>
      </w:r>
      <w:r>
        <w:t xml:space="preserve">potential </w:t>
      </w:r>
      <w:r w:rsidRPr="001E4247">
        <w:t xml:space="preserve">predicament. Notably, the recent topological results of </w:t>
      </w:r>
      <w:r w:rsidRPr="00215FA7">
        <w:rPr>
          <w:noProof/>
        </w:rPr>
        <w:t>Norman (2015: fig. 52)</w:t>
      </w:r>
      <w:r w:rsidRPr="001E4247">
        <w:t xml:space="preserve"> may suggest such a potential relationship, however the lack of</w:t>
      </w:r>
      <w:r>
        <w:t xml:space="preserve"> inclusion of marginocephalians, </w:t>
      </w:r>
      <w:r w:rsidRPr="001E4247">
        <w:t xml:space="preserve">and therefore the </w:t>
      </w:r>
      <w:r>
        <w:t xml:space="preserve">definite </w:t>
      </w:r>
      <w:r w:rsidRPr="001E4247">
        <w:t xml:space="preserve">pinpointing of </w:t>
      </w:r>
      <w:r w:rsidR="002F322D">
        <w:t>“</w:t>
      </w:r>
      <w:r w:rsidRPr="001E4247">
        <w:t>Cerapoda</w:t>
      </w:r>
      <w:r w:rsidR="002F322D">
        <w:t>,”</w:t>
      </w:r>
      <w:r w:rsidRPr="001E4247">
        <w:t xml:space="preserve"> in Norman’s results </w:t>
      </w:r>
      <w:r>
        <w:t>in ambiguity</w:t>
      </w:r>
      <w:r w:rsidRPr="001E4247">
        <w:t>.</w:t>
      </w:r>
    </w:p>
    <w:p w14:paraId="28AAB59B" w14:textId="77777777" w:rsidR="00D361E3" w:rsidRDefault="00D361E3" w:rsidP="00366C66">
      <w:pPr>
        <w:spacing w:line="360" w:lineRule="auto"/>
        <w:ind w:firstLine="284"/>
      </w:pPr>
      <w:r>
        <w:t xml:space="preserve">(2) </w:t>
      </w:r>
      <w:r w:rsidRPr="001E4247">
        <w:t xml:space="preserve">The authorship of Iguanodontia is regularly misattributed, often being confused with the family-group name Iguanodontidae </w:t>
      </w:r>
      <w:r>
        <w:rPr>
          <w:noProof/>
        </w:rPr>
        <w:t>(</w:t>
      </w:r>
      <w:r w:rsidRPr="00215FA7">
        <w:rPr>
          <w:noProof/>
        </w:rPr>
        <w:t>earliest use by Cope, 1869, p. 91</w:t>
      </w:r>
      <w:r>
        <w:rPr>
          <w:noProof/>
        </w:rPr>
        <w:t>)</w:t>
      </w:r>
      <w:r w:rsidRPr="001E4247">
        <w:t xml:space="preserve">. </w:t>
      </w:r>
      <w:r>
        <w:t xml:space="preserve">Because </w:t>
      </w:r>
      <w:r w:rsidRPr="001E4247">
        <w:t>Iguanodontidae</w:t>
      </w:r>
      <w:r>
        <w:t xml:space="preserve"> is a family-group name </w:t>
      </w:r>
      <w:r w:rsidRPr="001E4247">
        <w:t xml:space="preserve">its authorship is governed by the </w:t>
      </w:r>
      <w:r w:rsidR="002F322D">
        <w:t>“</w:t>
      </w:r>
      <w:r w:rsidRPr="001E4247">
        <w:t>Principle of Coordination</w:t>
      </w:r>
      <w:r w:rsidR="002F322D">
        <w:t>”</w:t>
      </w:r>
      <w:r w:rsidRPr="001E4247">
        <w:t xml:space="preserve"> (ICZN, Article 36.1</w:t>
      </w:r>
      <w:r>
        <w:t xml:space="preserve">), </w:t>
      </w:r>
      <w:r w:rsidRPr="001E4247">
        <w:t xml:space="preserve">which </w:t>
      </w:r>
      <w:r>
        <w:t xml:space="preserve">importantly </w:t>
      </w:r>
      <w:r w:rsidRPr="001E4247">
        <w:t xml:space="preserve">does not apply to Iguanodontia. The first proposal of Iguanodontia was made by </w:t>
      </w:r>
      <w:r w:rsidRPr="00215FA7">
        <w:rPr>
          <w:noProof/>
        </w:rPr>
        <w:t>Baur (1891)</w:t>
      </w:r>
      <w:r w:rsidRPr="001E4247">
        <w:t>, who suggested the name a</w:t>
      </w:r>
      <w:r>
        <w:t>s one of three major groups of dinosaurs</w:t>
      </w:r>
      <w:r w:rsidRPr="001E4247">
        <w:t xml:space="preserve"> (in Baur’s view, Dinosauria was an unnatural group and thus required separation). The establishment of Iguanodontia was made without reference to Iguanodontidae, and in the context of Baur’s arguments, cannot possibly be construed as a coordinated family-group name </w:t>
      </w:r>
      <w:r>
        <w:rPr>
          <w:noProof/>
        </w:rPr>
        <w:t>(</w:t>
      </w:r>
      <w:r w:rsidRPr="00215FA7">
        <w:rPr>
          <w:noProof/>
        </w:rPr>
        <w:t>Baur, 1891: however, he was aware of Iguanodontidae as a separately pre-established name, by mentioning it several times early in his paper</w:t>
      </w:r>
      <w:r>
        <w:rPr>
          <w:noProof/>
        </w:rPr>
        <w:t>)</w:t>
      </w:r>
      <w:r w:rsidRPr="001E4247">
        <w:t xml:space="preserve">. The earliest phylogenetic employment of Iguanodontia was by </w:t>
      </w:r>
      <w:r w:rsidRPr="00215FA7">
        <w:rPr>
          <w:noProof/>
        </w:rPr>
        <w:t>Sereno (1986)</w:t>
      </w:r>
      <w:r w:rsidRPr="001E4247">
        <w:t xml:space="preserve">, who attributed the name to </w:t>
      </w:r>
      <w:r w:rsidRPr="00215FA7">
        <w:rPr>
          <w:noProof/>
        </w:rPr>
        <w:t>Dollo (1888)</w:t>
      </w:r>
      <w:r w:rsidRPr="001E4247">
        <w:t xml:space="preserve">. Dollo’s paper, </w:t>
      </w:r>
      <w:r>
        <w:t xml:space="preserve">however, made no mention </w:t>
      </w:r>
      <w:r w:rsidRPr="001E4247">
        <w:t xml:space="preserve">of Iguanodontia, only to the family Iguanodontidae (which, </w:t>
      </w:r>
      <w:r>
        <w:t>irrespective</w:t>
      </w:r>
      <w:r w:rsidRPr="001E4247">
        <w:t>, should have been attributed to Cope, 1869, among multiple authors who preceded</w:t>
      </w:r>
      <w:r>
        <w:t xml:space="preserve"> Dollo [</w:t>
      </w:r>
      <w:r w:rsidRPr="001E4247">
        <w:t>1888</w:t>
      </w:r>
      <w:r>
        <w:t>]</w:t>
      </w:r>
      <w:r w:rsidRPr="001E4247">
        <w:t xml:space="preserve"> </w:t>
      </w:r>
      <w:r>
        <w:t>in using that</w:t>
      </w:r>
      <w:r w:rsidRPr="001E4247">
        <w:t xml:space="preserve"> name). </w:t>
      </w:r>
      <w:r>
        <w:t>Unfortunately, s</w:t>
      </w:r>
      <w:r w:rsidRPr="001E4247">
        <w:t xml:space="preserve">ubsequent works have followed </w:t>
      </w:r>
      <w:r w:rsidRPr="00215FA7">
        <w:rPr>
          <w:noProof/>
        </w:rPr>
        <w:t>Sereno (1986)</w:t>
      </w:r>
      <w:r w:rsidRPr="001E4247">
        <w:t xml:space="preserve">, </w:t>
      </w:r>
      <w:r>
        <w:t xml:space="preserve">in </w:t>
      </w:r>
      <w:r w:rsidRPr="001E4247">
        <w:t xml:space="preserve">misattributing Iguanodontia to Dollo, 1888 </w:t>
      </w:r>
      <w:r>
        <w:rPr>
          <w:noProof/>
        </w:rPr>
        <w:t xml:space="preserve">(e.g., </w:t>
      </w:r>
      <w:r w:rsidRPr="00215FA7">
        <w:rPr>
          <w:noProof/>
        </w:rPr>
        <w:t>Sereno, 1998</w:t>
      </w:r>
      <w:r>
        <w:rPr>
          <w:noProof/>
        </w:rPr>
        <w:t xml:space="preserve">; </w:t>
      </w:r>
      <w:r w:rsidRPr="00215FA7">
        <w:rPr>
          <w:noProof/>
        </w:rPr>
        <w:t>Sereno, 2005</w:t>
      </w:r>
      <w:r>
        <w:rPr>
          <w:noProof/>
        </w:rPr>
        <w:t xml:space="preserve">; </w:t>
      </w:r>
      <w:r w:rsidRPr="00215FA7">
        <w:rPr>
          <w:noProof/>
        </w:rPr>
        <w:t>Carpenter and Ishida, 2010</w:t>
      </w:r>
      <w:r>
        <w:rPr>
          <w:noProof/>
        </w:rPr>
        <w:t xml:space="preserve">; </w:t>
      </w:r>
      <w:r w:rsidRPr="00215FA7">
        <w:rPr>
          <w:noProof/>
        </w:rPr>
        <w:t>Norman, 2011</w:t>
      </w:r>
      <w:r>
        <w:rPr>
          <w:noProof/>
        </w:rPr>
        <w:t xml:space="preserve">; </w:t>
      </w:r>
      <w:r w:rsidRPr="00215FA7">
        <w:rPr>
          <w:noProof/>
        </w:rPr>
        <w:t>Norman, 2012</w:t>
      </w:r>
      <w:r>
        <w:rPr>
          <w:noProof/>
        </w:rPr>
        <w:t xml:space="preserve">; </w:t>
      </w:r>
      <w:r w:rsidRPr="00215FA7">
        <w:rPr>
          <w:noProof/>
        </w:rPr>
        <w:t>Madzia et al., 2018</w:t>
      </w:r>
      <w:r>
        <w:rPr>
          <w:noProof/>
        </w:rPr>
        <w:t>)</w:t>
      </w:r>
      <w:r w:rsidRPr="001E4247">
        <w:t xml:space="preserve"> or </w:t>
      </w:r>
      <w:r>
        <w:t>even to Sereno, 1986</w:t>
      </w:r>
      <w:r w:rsidRPr="001E4247">
        <w:t xml:space="preserve"> </w:t>
      </w:r>
      <w:r>
        <w:rPr>
          <w:noProof/>
        </w:rPr>
        <w:t>(</w:t>
      </w:r>
      <w:r w:rsidRPr="00215FA7">
        <w:rPr>
          <w:noProof/>
        </w:rPr>
        <w:t>e.g., Norman, 2015</w:t>
      </w:r>
      <w:r>
        <w:rPr>
          <w:noProof/>
        </w:rPr>
        <w:t>)</w:t>
      </w:r>
      <w:r w:rsidRPr="001E4247">
        <w:t xml:space="preserve">. In summary, non-coordination (via ICZN article 36.1) between Iguanodontia </w:t>
      </w:r>
      <w:r>
        <w:rPr>
          <w:noProof/>
        </w:rPr>
        <w:t>(</w:t>
      </w:r>
      <w:r w:rsidRPr="00215FA7">
        <w:rPr>
          <w:noProof/>
        </w:rPr>
        <w:t>Baur, 1891</w:t>
      </w:r>
      <w:r>
        <w:rPr>
          <w:noProof/>
        </w:rPr>
        <w:t>)</w:t>
      </w:r>
      <w:r w:rsidRPr="001E4247">
        <w:t xml:space="preserve"> and Iguanodontidae </w:t>
      </w:r>
      <w:r>
        <w:rPr>
          <w:noProof/>
        </w:rPr>
        <w:t>(</w:t>
      </w:r>
      <w:r w:rsidRPr="00215FA7">
        <w:rPr>
          <w:noProof/>
        </w:rPr>
        <w:t>Cope, 1869</w:t>
      </w:r>
      <w:r>
        <w:rPr>
          <w:noProof/>
        </w:rPr>
        <w:t>)</w:t>
      </w:r>
      <w:r w:rsidRPr="001E4247">
        <w:t xml:space="preserve"> renders Baur, 1891 the correct nominal author of the former</w:t>
      </w:r>
      <w:r>
        <w:t xml:space="preserve"> name</w:t>
      </w:r>
      <w:r w:rsidRPr="001E4247">
        <w:t>.</w:t>
      </w:r>
    </w:p>
    <w:p w14:paraId="3805C57D" w14:textId="77777777" w:rsidR="00D361E3" w:rsidRDefault="00D361E3" w:rsidP="00366C66">
      <w:pPr>
        <w:spacing w:line="360" w:lineRule="auto"/>
        <w:ind w:firstLine="284"/>
      </w:pPr>
    </w:p>
    <w:p w14:paraId="50761F81" w14:textId="77777777" w:rsidR="00D361E3" w:rsidRPr="001E4247" w:rsidRDefault="00D361E3" w:rsidP="00366C66">
      <w:pPr>
        <w:spacing w:line="360" w:lineRule="auto"/>
      </w:pPr>
      <w:r>
        <w:rPr>
          <w:b/>
        </w:rPr>
        <w:t xml:space="preserve">Rhabdodontidae </w:t>
      </w:r>
      <w:r w:rsidRPr="00215FA7">
        <w:rPr>
          <w:noProof/>
        </w:rPr>
        <w:t>Weishampel et al. (2003)</w:t>
      </w:r>
      <w:r>
        <w:t xml:space="preserve">—Node-based: the least inclusive clade containing </w:t>
      </w:r>
      <w:r w:rsidRPr="00317887">
        <w:rPr>
          <w:i/>
        </w:rPr>
        <w:t>Rhabdodon</w:t>
      </w:r>
      <w:r>
        <w:t xml:space="preserve"> </w:t>
      </w:r>
      <w:r w:rsidRPr="00317887">
        <w:rPr>
          <w:i/>
        </w:rPr>
        <w:t>priscus</w:t>
      </w:r>
      <w:r>
        <w:t xml:space="preserve"> and </w:t>
      </w:r>
      <w:r>
        <w:rPr>
          <w:i/>
        </w:rPr>
        <w:t xml:space="preserve">Zalmoxes robustus </w:t>
      </w:r>
      <w:r>
        <w:rPr>
          <w:noProof/>
        </w:rPr>
        <w:t>(</w:t>
      </w:r>
      <w:r w:rsidRPr="00215FA7">
        <w:rPr>
          <w:noProof/>
        </w:rPr>
        <w:t>sensu Weishampel et al., 2003</w:t>
      </w:r>
      <w:r>
        <w:rPr>
          <w:noProof/>
        </w:rPr>
        <w:t>)</w:t>
      </w:r>
      <w:r>
        <w:t>.</w:t>
      </w:r>
    </w:p>
    <w:p w14:paraId="5EA3828F" w14:textId="77777777" w:rsidR="00D361E3" w:rsidRDefault="00D361E3" w:rsidP="00366C66">
      <w:pPr>
        <w:spacing w:line="360" w:lineRule="auto"/>
      </w:pPr>
    </w:p>
    <w:p w14:paraId="41D49AF7" w14:textId="77777777" w:rsidR="00D361E3" w:rsidRPr="00CA0315" w:rsidRDefault="00D361E3" w:rsidP="00366C66">
      <w:pPr>
        <w:spacing w:line="360" w:lineRule="auto"/>
      </w:pPr>
      <w:r>
        <w:rPr>
          <w:b/>
        </w:rPr>
        <w:t xml:space="preserve">Dryomorpha </w:t>
      </w:r>
      <w:r w:rsidRPr="00215FA7">
        <w:rPr>
          <w:noProof/>
        </w:rPr>
        <w:t>Sereno (1986)</w:t>
      </w:r>
      <w:r>
        <w:t xml:space="preserve">—Node-based: the least inclusive clade containing </w:t>
      </w:r>
      <w:r>
        <w:rPr>
          <w:i/>
        </w:rPr>
        <w:t>Dryosaurus altus</w:t>
      </w:r>
      <w:r>
        <w:t xml:space="preserve"> and </w:t>
      </w:r>
      <w:r w:rsidRPr="007D78F0">
        <w:rPr>
          <w:i/>
        </w:rPr>
        <w:t>Parasaurolophus</w:t>
      </w:r>
      <w:r>
        <w:t xml:space="preserve"> </w:t>
      </w:r>
      <w:r w:rsidRPr="005D64FC">
        <w:rPr>
          <w:i/>
        </w:rPr>
        <w:t>walker</w:t>
      </w:r>
      <w:r>
        <w:rPr>
          <w:i/>
        </w:rPr>
        <w:t xml:space="preserve">i </w:t>
      </w:r>
      <w:r>
        <w:rPr>
          <w:noProof/>
        </w:rPr>
        <w:t>(</w:t>
      </w:r>
      <w:r w:rsidRPr="00215FA7">
        <w:rPr>
          <w:noProof/>
        </w:rPr>
        <w:t>sensu Madzia et al., 2018: Supplemental Appendix 1</w:t>
      </w:r>
      <w:r>
        <w:rPr>
          <w:noProof/>
        </w:rPr>
        <w:t>)</w:t>
      </w:r>
      <w:r>
        <w:t>.</w:t>
      </w:r>
    </w:p>
    <w:p w14:paraId="1449C89B" w14:textId="77777777" w:rsidR="00D361E3" w:rsidRDefault="00D361E3" w:rsidP="00366C66">
      <w:pPr>
        <w:spacing w:line="360" w:lineRule="auto"/>
      </w:pPr>
    </w:p>
    <w:p w14:paraId="6DA191BC" w14:textId="77777777" w:rsidR="00D361E3" w:rsidRPr="00CA0315" w:rsidRDefault="00D361E3" w:rsidP="00366C66">
      <w:pPr>
        <w:spacing w:line="360" w:lineRule="auto"/>
      </w:pPr>
      <w:r>
        <w:rPr>
          <w:b/>
        </w:rPr>
        <w:t>Dryosauridae</w:t>
      </w:r>
      <w:r>
        <w:t xml:space="preserve"> </w:t>
      </w:r>
      <w:r w:rsidRPr="00215FA7">
        <w:rPr>
          <w:noProof/>
        </w:rPr>
        <w:t>Milner and Norman (1984)</w:t>
      </w:r>
      <w:r>
        <w:t xml:space="preserve">—Stem-based: the most inclusive clade containing </w:t>
      </w:r>
      <w:r>
        <w:rPr>
          <w:i/>
        </w:rPr>
        <w:t>Dryosaurus altus</w:t>
      </w:r>
      <w:r>
        <w:t xml:space="preserve"> but not </w:t>
      </w:r>
      <w:r w:rsidRPr="007D78F0">
        <w:rPr>
          <w:i/>
        </w:rPr>
        <w:t>Parasaurolophus</w:t>
      </w:r>
      <w:r>
        <w:t xml:space="preserve"> </w:t>
      </w:r>
      <w:r w:rsidRPr="005D64FC">
        <w:rPr>
          <w:i/>
        </w:rPr>
        <w:t>walker</w:t>
      </w:r>
      <w:r>
        <w:rPr>
          <w:i/>
        </w:rPr>
        <w:t>i</w:t>
      </w:r>
      <w:r>
        <w:t xml:space="preserve"> </w:t>
      </w:r>
      <w:r>
        <w:rPr>
          <w:noProof/>
        </w:rPr>
        <w:t>(</w:t>
      </w:r>
      <w:r w:rsidRPr="00215FA7">
        <w:rPr>
          <w:noProof/>
        </w:rPr>
        <w:t>sensu Sereno, 1998</w:t>
      </w:r>
      <w:r>
        <w:rPr>
          <w:noProof/>
        </w:rPr>
        <w:t>)</w:t>
      </w:r>
      <w:r>
        <w:t>.</w:t>
      </w:r>
    </w:p>
    <w:p w14:paraId="6A60D8AC" w14:textId="77777777" w:rsidR="00D361E3" w:rsidRDefault="00D361E3" w:rsidP="00366C66">
      <w:pPr>
        <w:spacing w:line="360" w:lineRule="auto"/>
      </w:pPr>
    </w:p>
    <w:p w14:paraId="20653699" w14:textId="77777777" w:rsidR="00D361E3" w:rsidRDefault="00D361E3" w:rsidP="00366C66">
      <w:pPr>
        <w:spacing w:line="360" w:lineRule="auto"/>
      </w:pPr>
      <w:r w:rsidRPr="005D64FC">
        <w:rPr>
          <w:b/>
        </w:rPr>
        <w:t>Ankylopollexia</w:t>
      </w:r>
      <w:r>
        <w:rPr>
          <w:b/>
        </w:rPr>
        <w:t xml:space="preserve"> </w:t>
      </w:r>
      <w:r w:rsidRPr="00215FA7">
        <w:rPr>
          <w:noProof/>
        </w:rPr>
        <w:t>Sereno (1986)</w:t>
      </w:r>
      <w:r>
        <w:t xml:space="preserve">—Node-based: the least inclusive clade containing </w:t>
      </w:r>
      <w:r w:rsidRPr="005D64FC">
        <w:rPr>
          <w:i/>
        </w:rPr>
        <w:t>Camptosaurus</w:t>
      </w:r>
      <w:r>
        <w:t xml:space="preserve"> </w:t>
      </w:r>
      <w:r w:rsidRPr="005D64FC">
        <w:rPr>
          <w:i/>
        </w:rPr>
        <w:t>dispar</w:t>
      </w:r>
      <w:r>
        <w:t xml:space="preserve"> and </w:t>
      </w:r>
      <w:r w:rsidRPr="007D78F0">
        <w:rPr>
          <w:i/>
        </w:rPr>
        <w:t>Parasaurolophus</w:t>
      </w:r>
      <w:r>
        <w:t xml:space="preserve"> </w:t>
      </w:r>
      <w:r w:rsidRPr="005D64FC">
        <w:rPr>
          <w:i/>
        </w:rPr>
        <w:t>walkeri</w:t>
      </w:r>
      <w:r>
        <w:t xml:space="preserve"> </w:t>
      </w:r>
      <w:r>
        <w:rPr>
          <w:noProof/>
        </w:rPr>
        <w:t>(</w:t>
      </w:r>
      <w:r w:rsidRPr="00215FA7">
        <w:rPr>
          <w:noProof/>
        </w:rPr>
        <w:t>sensu Sereno, 1998</w:t>
      </w:r>
      <w:r>
        <w:rPr>
          <w:noProof/>
        </w:rPr>
        <w:t>)</w:t>
      </w:r>
      <w:r>
        <w:t>.</w:t>
      </w:r>
    </w:p>
    <w:p w14:paraId="65EC4593" w14:textId="77777777" w:rsidR="00D361E3" w:rsidRDefault="00D361E3" w:rsidP="00366C66">
      <w:pPr>
        <w:spacing w:line="360" w:lineRule="auto"/>
        <w:ind w:firstLine="284"/>
      </w:pPr>
      <w:r w:rsidRPr="001E4247">
        <w:t>Comment—</w:t>
      </w:r>
      <w:r>
        <w:t>Ankylopollexia and its branching stems (Styracosterna and Camptosauridae/</w:t>
      </w:r>
      <w:r w:rsidRPr="009434E2">
        <w:rPr>
          <w:i/>
        </w:rPr>
        <w:t>Camptosaurus</w:t>
      </w:r>
      <w:r>
        <w:t xml:space="preserve"> spp.) form a node-stem-triplet.</w:t>
      </w:r>
    </w:p>
    <w:p w14:paraId="343608DF" w14:textId="77777777" w:rsidR="00D361E3" w:rsidRDefault="00D361E3" w:rsidP="00366C66">
      <w:pPr>
        <w:spacing w:line="360" w:lineRule="auto"/>
      </w:pPr>
    </w:p>
    <w:p w14:paraId="17FF1F24" w14:textId="77777777" w:rsidR="00D361E3" w:rsidRDefault="00D361E3" w:rsidP="00366C66">
      <w:pPr>
        <w:spacing w:line="360" w:lineRule="auto"/>
      </w:pPr>
      <w:r>
        <w:rPr>
          <w:b/>
        </w:rPr>
        <w:t xml:space="preserve">Camptosauridae </w:t>
      </w:r>
      <w:r w:rsidRPr="00215FA7">
        <w:rPr>
          <w:noProof/>
        </w:rPr>
        <w:t>Marsh (1889: in replacement of Camptonotidae [Marsh, 1881])</w:t>
      </w:r>
      <w:r>
        <w:t xml:space="preserve">—Stem-based: the most inclusive clade containing </w:t>
      </w:r>
      <w:r w:rsidRPr="005D64FC">
        <w:rPr>
          <w:i/>
        </w:rPr>
        <w:t>Camptosaurus</w:t>
      </w:r>
      <w:r>
        <w:t xml:space="preserve"> </w:t>
      </w:r>
      <w:r w:rsidRPr="005D64FC">
        <w:rPr>
          <w:i/>
        </w:rPr>
        <w:t>dispar</w:t>
      </w:r>
      <w:r>
        <w:t xml:space="preserve"> but not </w:t>
      </w:r>
      <w:r w:rsidRPr="007D78F0">
        <w:rPr>
          <w:i/>
        </w:rPr>
        <w:t>Parasaurolophus</w:t>
      </w:r>
      <w:r>
        <w:t xml:space="preserve"> </w:t>
      </w:r>
      <w:r w:rsidRPr="005D64FC">
        <w:rPr>
          <w:i/>
        </w:rPr>
        <w:t>walkeri</w:t>
      </w:r>
      <w:r>
        <w:t xml:space="preserve"> </w:t>
      </w:r>
      <w:r>
        <w:rPr>
          <w:noProof/>
        </w:rPr>
        <w:t>(</w:t>
      </w:r>
      <w:r w:rsidRPr="00215FA7">
        <w:rPr>
          <w:noProof/>
        </w:rPr>
        <w:t>sensu Sereno, 1998</w:t>
      </w:r>
      <w:r>
        <w:rPr>
          <w:noProof/>
        </w:rPr>
        <w:t>)</w:t>
      </w:r>
      <w:r>
        <w:t>.</w:t>
      </w:r>
    </w:p>
    <w:p w14:paraId="315A7089" w14:textId="77777777" w:rsidR="00D361E3" w:rsidRDefault="00D361E3" w:rsidP="00366C66">
      <w:pPr>
        <w:spacing w:line="360" w:lineRule="auto"/>
      </w:pPr>
    </w:p>
    <w:p w14:paraId="759C040B" w14:textId="77777777" w:rsidR="00D361E3" w:rsidRDefault="00D361E3" w:rsidP="00366C66">
      <w:pPr>
        <w:spacing w:line="360" w:lineRule="auto"/>
      </w:pPr>
      <w:r>
        <w:rPr>
          <w:b/>
        </w:rPr>
        <w:t xml:space="preserve">Styracosterna </w:t>
      </w:r>
      <w:r w:rsidRPr="00215FA7">
        <w:rPr>
          <w:noProof/>
        </w:rPr>
        <w:t>Sereno (1986)</w:t>
      </w:r>
      <w:r>
        <w:t xml:space="preserve">—Stem-based: the most inclusive clade containing </w:t>
      </w:r>
      <w:r w:rsidRPr="007D78F0">
        <w:rPr>
          <w:i/>
        </w:rPr>
        <w:t>Parasaurolophus</w:t>
      </w:r>
      <w:r>
        <w:t xml:space="preserve"> </w:t>
      </w:r>
      <w:r w:rsidRPr="005D64FC">
        <w:rPr>
          <w:i/>
        </w:rPr>
        <w:t>walkeri</w:t>
      </w:r>
      <w:r>
        <w:t xml:space="preserve"> but not </w:t>
      </w:r>
      <w:r w:rsidRPr="005D64FC">
        <w:rPr>
          <w:i/>
        </w:rPr>
        <w:t>Camptosaurus</w:t>
      </w:r>
      <w:r>
        <w:t xml:space="preserve"> </w:t>
      </w:r>
      <w:r w:rsidRPr="005D64FC">
        <w:rPr>
          <w:i/>
        </w:rPr>
        <w:t>dispar</w:t>
      </w:r>
      <w:r>
        <w:t xml:space="preserve"> </w:t>
      </w:r>
      <w:r>
        <w:rPr>
          <w:noProof/>
        </w:rPr>
        <w:t>(</w:t>
      </w:r>
      <w:r w:rsidRPr="00215FA7">
        <w:rPr>
          <w:noProof/>
        </w:rPr>
        <w:t>sensu Sereno, 1998</w:t>
      </w:r>
      <w:r>
        <w:rPr>
          <w:noProof/>
        </w:rPr>
        <w:t>)</w:t>
      </w:r>
      <w:r>
        <w:t>.</w:t>
      </w:r>
    </w:p>
    <w:p w14:paraId="7D5416C0" w14:textId="77777777" w:rsidR="00D361E3" w:rsidRDefault="00D361E3" w:rsidP="00366C66">
      <w:pPr>
        <w:spacing w:line="360" w:lineRule="auto"/>
      </w:pPr>
    </w:p>
    <w:p w14:paraId="1DF9AE3A" w14:textId="77777777" w:rsidR="00D361E3" w:rsidRPr="004F4B3A" w:rsidRDefault="00D361E3" w:rsidP="004F4B3A">
      <w:pPr>
        <w:spacing w:line="360" w:lineRule="auto"/>
        <w:rPr>
          <w:b/>
        </w:rPr>
      </w:pPr>
      <w:r w:rsidRPr="004F4B3A">
        <w:rPr>
          <w:b/>
        </w:rPr>
        <w:t>Remark on clade names in phylogenetic figures</w:t>
      </w:r>
    </w:p>
    <w:p w14:paraId="0E9D9EE5" w14:textId="77777777" w:rsidR="00D361E3" w:rsidRDefault="00D361E3" w:rsidP="00942435">
      <w:pPr>
        <w:spacing w:line="360" w:lineRule="auto"/>
        <w:ind w:firstLine="567"/>
      </w:pPr>
      <w:r>
        <w:t>Selected clade labels in Figure 25 follow a strict application of the pre-agreed phylogenetic taxonomy (see section 1, above) in combination with only fully unambiguously resolved clades — i.e., “approximately-resolved clades” in polytomies are not labelled because they breach aspects of the phylogenetic definitions. In short, a polytomy prevents the strict reporting of conventional stem and node clades at that position, within the scope of the specific topology being shown.</w:t>
      </w:r>
    </w:p>
    <w:p w14:paraId="4FE57708" w14:textId="77777777" w:rsidR="00D361E3" w:rsidRDefault="00D361E3" w:rsidP="00942435">
      <w:pPr>
        <w:pStyle w:val="Heading1"/>
      </w:pPr>
      <w:bookmarkStart w:id="2" w:name="_Toc400287916"/>
      <w:r>
        <w:t>2. Further remarks on operational taxonomic units and dataset completeness</w:t>
      </w:r>
      <w:bookmarkEnd w:id="2"/>
    </w:p>
    <w:p w14:paraId="31143E75" w14:textId="77777777" w:rsidR="00D361E3" w:rsidRDefault="00D361E3" w:rsidP="00366C66">
      <w:pPr>
        <w:spacing w:line="360" w:lineRule="auto"/>
        <w:ind w:firstLine="567"/>
        <w:rPr>
          <w:bCs/>
        </w:rPr>
      </w:pPr>
      <w:r w:rsidRPr="008319B4">
        <w:rPr>
          <w:bCs/>
          <w:i/>
        </w:rPr>
        <w:t>Pisanosaurus</w:t>
      </w:r>
      <w:r>
        <w:rPr>
          <w:bCs/>
        </w:rPr>
        <w:t xml:space="preserve"> </w:t>
      </w:r>
      <w:r>
        <w:rPr>
          <w:bCs/>
          <w:i/>
        </w:rPr>
        <w:t>merti</w:t>
      </w:r>
      <w:r w:rsidRPr="008319B4">
        <w:rPr>
          <w:bCs/>
          <w:i/>
        </w:rPr>
        <w:t>i</w:t>
      </w:r>
      <w:r>
        <w:rPr>
          <w:bCs/>
        </w:rPr>
        <w:t xml:space="preserve"> is now understood to be a probable silesaurid, and not an ornithischian (let alone a dinosaur) </w:t>
      </w:r>
      <w:r>
        <w:rPr>
          <w:bCs/>
          <w:noProof/>
        </w:rPr>
        <w:t>(</w:t>
      </w:r>
      <w:r w:rsidRPr="00215FA7">
        <w:rPr>
          <w:bCs/>
          <w:noProof/>
        </w:rPr>
        <w:t>Agnolín and Rozadilla, 2018</w:t>
      </w:r>
      <w:r>
        <w:rPr>
          <w:bCs/>
          <w:noProof/>
        </w:rPr>
        <w:t>)</w:t>
      </w:r>
      <w:r>
        <w:rPr>
          <w:bCs/>
        </w:rPr>
        <w:t xml:space="preserve">. It was removed as a problematic OTU from the </w:t>
      </w:r>
      <w:r>
        <w:t xml:space="preserve">dataset of </w:t>
      </w:r>
      <w:r w:rsidRPr="00215FA7">
        <w:rPr>
          <w:noProof/>
        </w:rPr>
        <w:t>Dieudonné et al. (2016)</w:t>
      </w:r>
      <w:r>
        <w:t>,</w:t>
      </w:r>
      <w:r>
        <w:rPr>
          <w:bCs/>
        </w:rPr>
        <w:t xml:space="preserve"> due its high missing data coupled with potentially ambiguous character scores made under the prevailing view the taxon was an ornithischian.</w:t>
      </w:r>
    </w:p>
    <w:p w14:paraId="70ACCC18" w14:textId="77777777" w:rsidR="00D361E3" w:rsidRDefault="00D361E3" w:rsidP="00366C66">
      <w:pPr>
        <w:spacing w:line="360" w:lineRule="auto"/>
        <w:ind w:firstLine="567"/>
      </w:pPr>
      <w:r>
        <w:t xml:space="preserve">Five marginocephalian taxa were added to the dataset of </w:t>
      </w:r>
      <w:r w:rsidRPr="00215FA7">
        <w:rPr>
          <w:noProof/>
        </w:rPr>
        <w:t>Dieudonné et al. (2016)</w:t>
      </w:r>
      <w:r>
        <w:t xml:space="preserve">: </w:t>
      </w:r>
      <w:r w:rsidRPr="00814B74">
        <w:rPr>
          <w:i/>
        </w:rPr>
        <w:t>Homalocephale</w:t>
      </w:r>
      <w:r w:rsidRPr="00814B74">
        <w:t xml:space="preserve"> </w:t>
      </w:r>
      <w:r w:rsidRPr="00814B74">
        <w:rPr>
          <w:i/>
        </w:rPr>
        <w:t>calathocercos</w:t>
      </w:r>
      <w:r w:rsidRPr="00814B74">
        <w:t xml:space="preserve">, </w:t>
      </w:r>
      <w:r w:rsidRPr="00814B74">
        <w:rPr>
          <w:i/>
        </w:rPr>
        <w:t>Stegoceras</w:t>
      </w:r>
      <w:r w:rsidRPr="00814B74">
        <w:t xml:space="preserve"> </w:t>
      </w:r>
      <w:r w:rsidRPr="00814B74">
        <w:rPr>
          <w:i/>
        </w:rPr>
        <w:t>validum</w:t>
      </w:r>
      <w:r w:rsidRPr="00814B74">
        <w:rPr>
          <w:bCs/>
        </w:rPr>
        <w:t>,</w:t>
      </w:r>
      <w:r>
        <w:rPr>
          <w:bCs/>
        </w:rPr>
        <w:t xml:space="preserve"> </w:t>
      </w:r>
      <w:r w:rsidRPr="001A1FC0">
        <w:rPr>
          <w:bCs/>
          <w:i/>
        </w:rPr>
        <w:t>Goyocephale</w:t>
      </w:r>
      <w:r>
        <w:rPr>
          <w:bCs/>
        </w:rPr>
        <w:t xml:space="preserve"> </w:t>
      </w:r>
      <w:r w:rsidRPr="001A1FC0">
        <w:rPr>
          <w:bCs/>
          <w:i/>
        </w:rPr>
        <w:t>lattimorei</w:t>
      </w:r>
      <w:r>
        <w:rPr>
          <w:bCs/>
        </w:rPr>
        <w:t xml:space="preserve">, </w:t>
      </w:r>
      <w:r w:rsidRPr="001A1FC0">
        <w:rPr>
          <w:bCs/>
          <w:i/>
        </w:rPr>
        <w:t>Liaoceratops</w:t>
      </w:r>
      <w:r>
        <w:rPr>
          <w:bCs/>
        </w:rPr>
        <w:t xml:space="preserve"> </w:t>
      </w:r>
      <w:r w:rsidRPr="001A1FC0">
        <w:rPr>
          <w:bCs/>
          <w:i/>
        </w:rPr>
        <w:t>yanzigouensis</w:t>
      </w:r>
      <w:r w:rsidRPr="00814B74">
        <w:rPr>
          <w:bCs/>
        </w:rPr>
        <w:t xml:space="preserve"> and </w:t>
      </w:r>
      <w:r w:rsidRPr="00814B74">
        <w:rPr>
          <w:bCs/>
          <w:i/>
        </w:rPr>
        <w:t>Protoceratops</w:t>
      </w:r>
      <w:r w:rsidRPr="00814B74">
        <w:rPr>
          <w:bCs/>
        </w:rPr>
        <w:t xml:space="preserve"> </w:t>
      </w:r>
      <w:r w:rsidRPr="00814B74">
        <w:rPr>
          <w:bCs/>
          <w:i/>
        </w:rPr>
        <w:t>andrewsi</w:t>
      </w:r>
      <w:r w:rsidRPr="00814B74">
        <w:rPr>
          <w:bCs/>
        </w:rPr>
        <w:t xml:space="preserve"> </w:t>
      </w:r>
      <w:r>
        <w:rPr>
          <w:bCs/>
          <w:noProof/>
        </w:rPr>
        <w:t>(</w:t>
      </w:r>
      <w:r w:rsidRPr="00215FA7">
        <w:rPr>
          <w:bCs/>
          <w:noProof/>
        </w:rPr>
        <w:t>Gilmore, 1924</w:t>
      </w:r>
      <w:r>
        <w:rPr>
          <w:bCs/>
          <w:noProof/>
        </w:rPr>
        <w:t xml:space="preserve">; </w:t>
      </w:r>
      <w:r w:rsidRPr="00215FA7">
        <w:rPr>
          <w:bCs/>
          <w:noProof/>
        </w:rPr>
        <w:t>Brown and Schlaikjer, 1940</w:t>
      </w:r>
      <w:r>
        <w:rPr>
          <w:bCs/>
          <w:noProof/>
        </w:rPr>
        <w:t xml:space="preserve">; </w:t>
      </w:r>
      <w:r w:rsidRPr="00215FA7">
        <w:rPr>
          <w:bCs/>
          <w:noProof/>
        </w:rPr>
        <w:t>Maryanska and Osmolska, 1974</w:t>
      </w:r>
      <w:r>
        <w:rPr>
          <w:bCs/>
          <w:noProof/>
        </w:rPr>
        <w:t xml:space="preserve">; </w:t>
      </w:r>
      <w:r w:rsidRPr="00215FA7">
        <w:rPr>
          <w:bCs/>
          <w:noProof/>
        </w:rPr>
        <w:t>Perle et al., 1982</w:t>
      </w:r>
      <w:r>
        <w:rPr>
          <w:bCs/>
          <w:noProof/>
        </w:rPr>
        <w:t xml:space="preserve">; </w:t>
      </w:r>
      <w:r w:rsidRPr="00215FA7">
        <w:rPr>
          <w:bCs/>
          <w:noProof/>
        </w:rPr>
        <w:t>Galton and Sues, 1983</w:t>
      </w:r>
      <w:r>
        <w:rPr>
          <w:bCs/>
          <w:noProof/>
        </w:rPr>
        <w:t xml:space="preserve">; </w:t>
      </w:r>
      <w:r w:rsidRPr="00215FA7">
        <w:rPr>
          <w:bCs/>
          <w:noProof/>
        </w:rPr>
        <w:t>Xu et al., 2002</w:t>
      </w:r>
      <w:r>
        <w:rPr>
          <w:bCs/>
          <w:noProof/>
        </w:rPr>
        <w:t xml:space="preserve">; </w:t>
      </w:r>
      <w:r w:rsidRPr="00215FA7">
        <w:rPr>
          <w:bCs/>
          <w:noProof/>
        </w:rPr>
        <w:t>Tanoue et al., 2009</w:t>
      </w:r>
      <w:r>
        <w:rPr>
          <w:bCs/>
          <w:noProof/>
        </w:rPr>
        <w:t xml:space="preserve">; </w:t>
      </w:r>
      <w:r w:rsidRPr="00215FA7">
        <w:rPr>
          <w:bCs/>
          <w:noProof/>
        </w:rPr>
        <w:t>He et al., 2018</w:t>
      </w:r>
      <w:r>
        <w:rPr>
          <w:bCs/>
          <w:noProof/>
        </w:rPr>
        <w:t>)</w:t>
      </w:r>
      <w:r>
        <w:rPr>
          <w:bCs/>
        </w:rPr>
        <w:t xml:space="preserve"> . </w:t>
      </w:r>
      <w:r>
        <w:t xml:space="preserve">The decision to include additional marginocephalians arose out of a problem observed in a previous analysis </w:t>
      </w:r>
      <w:r>
        <w:rPr>
          <w:noProof/>
        </w:rPr>
        <w:t>(</w:t>
      </w:r>
      <w:r w:rsidRPr="00215FA7">
        <w:rPr>
          <w:noProof/>
        </w:rPr>
        <w:t>Herne et al., 2018</w:t>
      </w:r>
      <w:r>
        <w:rPr>
          <w:noProof/>
        </w:rPr>
        <w:t>)</w:t>
      </w:r>
      <w:r>
        <w:t xml:space="preserve">, where the position of the major node Cerapoda was highly volatile with minor changes to the dataset of </w:t>
      </w:r>
      <w:r w:rsidRPr="00215FA7">
        <w:rPr>
          <w:noProof/>
        </w:rPr>
        <w:t>Dieudonné et al. (2016)</w:t>
      </w:r>
      <w:r>
        <w:t xml:space="preserve">, rendering the assignment of many OTUs within and external to the clade uncertain. Cerapoda is composed of two branches—Ornithopoda and Marginocephalia, however, the purported ornithopodan affinities of certain taxa of key interest cannot be appropriately confirmed if marginocephalians are not appropriately represented. Specifically: (1), pachycephalosaurs, comprising a major sub-branch of Marginocephalia, were not represented as OTUs in the dataset of </w:t>
      </w:r>
      <w:r w:rsidRPr="00215FA7">
        <w:rPr>
          <w:noProof/>
        </w:rPr>
        <w:t>Dieudonné et al. (2016)</w:t>
      </w:r>
      <w:r>
        <w:t xml:space="preserve">, and (2), the marginocephalians that were included therein were found be frequently mis-scored or not scored at all in instances when character data was available. Regarding the latter, approximately 43% of the scores have been altered for the OTU Psittacosauridae; however, the substantial filling of the previously missing data in </w:t>
      </w:r>
      <w:r w:rsidRPr="00E0738E">
        <w:rPr>
          <w:i/>
        </w:rPr>
        <w:t>Yinlong</w:t>
      </w:r>
      <w:r>
        <w:t xml:space="preserve"> </w:t>
      </w:r>
      <w:r w:rsidRPr="00E0738E">
        <w:rPr>
          <w:i/>
        </w:rPr>
        <w:t>downsi</w:t>
      </w:r>
      <w:r>
        <w:t xml:space="preserve"> is understandable due to the postcranial information being only recently available </w:t>
      </w:r>
      <w:r>
        <w:rPr>
          <w:noProof/>
        </w:rPr>
        <w:t>(</w:t>
      </w:r>
      <w:r w:rsidRPr="00215FA7">
        <w:rPr>
          <w:noProof/>
        </w:rPr>
        <w:t>Han et al., 2018</w:t>
      </w:r>
      <w:r>
        <w:rPr>
          <w:noProof/>
        </w:rPr>
        <w:t>)</w:t>
      </w:r>
      <w:r>
        <w:t>.</w:t>
      </w:r>
    </w:p>
    <w:p w14:paraId="301E9A66" w14:textId="77777777" w:rsidR="00D361E3" w:rsidRDefault="00D361E3" w:rsidP="00366C66">
      <w:pPr>
        <w:spacing w:line="360" w:lineRule="auto"/>
        <w:ind w:firstLine="567"/>
      </w:pPr>
      <w:r>
        <w:t>Following revision of character codings and a rescoring of the dataset, a survey of missing data (by OTU) was made. Several taxa, especially the Victorian taxa focal to this work, remain among the most poorly scored of the OTUs (in bold):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260"/>
      </w:tblGrid>
      <w:tr w:rsidR="00D361E3" w:rsidRPr="0016634C" w14:paraId="5162A652" w14:textId="77777777" w:rsidTr="00033D24">
        <w:trPr>
          <w:trHeight w:val="386"/>
        </w:trPr>
        <w:tc>
          <w:tcPr>
            <w:tcW w:w="3936" w:type="dxa"/>
            <w:tcBorders>
              <w:top w:val="single" w:sz="4" w:space="0" w:color="auto"/>
              <w:bottom w:val="single" w:sz="4" w:space="0" w:color="auto"/>
            </w:tcBorders>
          </w:tcPr>
          <w:p w14:paraId="21160144" w14:textId="77777777" w:rsidR="00D361E3" w:rsidRPr="0016634C" w:rsidRDefault="00D361E3" w:rsidP="00366C66">
            <w:pPr>
              <w:spacing w:line="360" w:lineRule="auto"/>
              <w:rPr>
                <w:rFonts w:cs="Times New Roman"/>
              </w:rPr>
            </w:pPr>
            <w:r w:rsidRPr="0016634C">
              <w:rPr>
                <w:rFonts w:cs="Times New Roman"/>
              </w:rPr>
              <w:t>Taxon</w:t>
            </w:r>
          </w:p>
        </w:tc>
        <w:tc>
          <w:tcPr>
            <w:tcW w:w="3260" w:type="dxa"/>
            <w:tcBorders>
              <w:top w:val="single" w:sz="4" w:space="0" w:color="auto"/>
              <w:bottom w:val="single" w:sz="4" w:space="0" w:color="auto"/>
            </w:tcBorders>
          </w:tcPr>
          <w:p w14:paraId="643B48BF" w14:textId="77777777" w:rsidR="00D361E3" w:rsidRPr="0016634C" w:rsidRDefault="00D361E3" w:rsidP="00366C66">
            <w:pPr>
              <w:spacing w:line="360" w:lineRule="auto"/>
              <w:rPr>
                <w:rFonts w:cs="Times New Roman"/>
              </w:rPr>
            </w:pPr>
            <w:r w:rsidRPr="0016634C">
              <w:rPr>
                <w:rFonts w:cs="Times New Roman"/>
              </w:rPr>
              <w:t>Proportion of missing data</w:t>
            </w:r>
          </w:p>
        </w:tc>
      </w:tr>
      <w:tr w:rsidR="00D361E3" w:rsidRPr="0016634C" w14:paraId="7622FF85" w14:textId="77777777" w:rsidTr="00033D24">
        <w:trPr>
          <w:trHeight w:val="405"/>
        </w:trPr>
        <w:tc>
          <w:tcPr>
            <w:tcW w:w="3936" w:type="dxa"/>
            <w:tcBorders>
              <w:top w:val="single" w:sz="4" w:space="0" w:color="auto"/>
              <w:bottom w:val="nil"/>
            </w:tcBorders>
          </w:tcPr>
          <w:p w14:paraId="509376F3" w14:textId="77777777" w:rsidR="00D361E3" w:rsidRPr="0016634C" w:rsidRDefault="00D361E3" w:rsidP="00366C66">
            <w:pPr>
              <w:spacing w:line="360" w:lineRule="auto"/>
              <w:rPr>
                <w:rFonts w:cs="Times New Roman"/>
                <w:b/>
                <w:i/>
              </w:rPr>
            </w:pPr>
            <w:r w:rsidRPr="0016634C">
              <w:rPr>
                <w:rFonts w:cs="Times New Roman"/>
                <w:i/>
                <w:lang w:val="en-US"/>
              </w:rPr>
              <w:t>Lycorhinus angustidens</w:t>
            </w:r>
          </w:p>
        </w:tc>
        <w:tc>
          <w:tcPr>
            <w:tcW w:w="3260" w:type="dxa"/>
            <w:tcBorders>
              <w:top w:val="single" w:sz="4" w:space="0" w:color="auto"/>
              <w:bottom w:val="nil"/>
            </w:tcBorders>
          </w:tcPr>
          <w:p w14:paraId="444715FA" w14:textId="77777777" w:rsidR="00D361E3" w:rsidRPr="0016634C" w:rsidRDefault="00D361E3" w:rsidP="00366C66">
            <w:pPr>
              <w:spacing w:line="360" w:lineRule="auto"/>
              <w:rPr>
                <w:rFonts w:cs="Times New Roman"/>
              </w:rPr>
            </w:pPr>
            <w:r w:rsidRPr="0016634C">
              <w:rPr>
                <w:rFonts w:cs="Times New Roman"/>
              </w:rPr>
              <w:t>9</w:t>
            </w:r>
            <w:r>
              <w:rPr>
                <w:rFonts w:cs="Times New Roman"/>
              </w:rPr>
              <w:t>1</w:t>
            </w:r>
            <w:r w:rsidRPr="0016634C">
              <w:rPr>
                <w:rFonts w:cs="Times New Roman"/>
              </w:rPr>
              <w:t>.</w:t>
            </w:r>
            <w:r>
              <w:rPr>
                <w:rFonts w:cs="Times New Roman"/>
              </w:rPr>
              <w:t>8</w:t>
            </w:r>
            <w:r w:rsidRPr="0016634C">
              <w:rPr>
                <w:rFonts w:cs="Times New Roman"/>
              </w:rPr>
              <w:t>%</w:t>
            </w:r>
          </w:p>
        </w:tc>
      </w:tr>
      <w:tr w:rsidR="00D361E3" w:rsidRPr="0016634C" w14:paraId="6E1BD148" w14:textId="77777777" w:rsidTr="00033D24">
        <w:trPr>
          <w:trHeight w:val="386"/>
        </w:trPr>
        <w:tc>
          <w:tcPr>
            <w:tcW w:w="3936" w:type="dxa"/>
            <w:tcBorders>
              <w:top w:val="nil"/>
              <w:bottom w:val="nil"/>
            </w:tcBorders>
          </w:tcPr>
          <w:p w14:paraId="37B17A24" w14:textId="77777777" w:rsidR="00D361E3" w:rsidRPr="0016634C" w:rsidRDefault="00D361E3" w:rsidP="00366C66">
            <w:pPr>
              <w:spacing w:line="360" w:lineRule="auto"/>
              <w:rPr>
                <w:rFonts w:cs="Times New Roman"/>
                <w:b/>
                <w:i/>
              </w:rPr>
            </w:pPr>
            <w:r w:rsidRPr="0016634C">
              <w:rPr>
                <w:rFonts w:cs="Times New Roman"/>
                <w:b/>
                <w:i/>
              </w:rPr>
              <w:t>Galleonosaurus dorisae</w:t>
            </w:r>
          </w:p>
        </w:tc>
        <w:tc>
          <w:tcPr>
            <w:tcW w:w="3260" w:type="dxa"/>
            <w:tcBorders>
              <w:top w:val="nil"/>
              <w:bottom w:val="nil"/>
            </w:tcBorders>
          </w:tcPr>
          <w:p w14:paraId="2EA7956A" w14:textId="77777777" w:rsidR="00D361E3" w:rsidRPr="0016634C" w:rsidRDefault="00D361E3" w:rsidP="005E67B6">
            <w:pPr>
              <w:spacing w:line="360" w:lineRule="auto"/>
              <w:rPr>
                <w:rFonts w:cs="Times New Roman"/>
              </w:rPr>
            </w:pPr>
            <w:r w:rsidRPr="0016634C">
              <w:rPr>
                <w:rFonts w:cs="Times New Roman"/>
              </w:rPr>
              <w:t>91.</w:t>
            </w:r>
            <w:r>
              <w:rPr>
                <w:rFonts w:cs="Times New Roman"/>
              </w:rPr>
              <w:t>7</w:t>
            </w:r>
            <w:r w:rsidRPr="0016634C">
              <w:rPr>
                <w:rFonts w:cs="Times New Roman"/>
              </w:rPr>
              <w:t>%</w:t>
            </w:r>
          </w:p>
        </w:tc>
      </w:tr>
      <w:tr w:rsidR="00D361E3" w:rsidRPr="0016634C" w14:paraId="4B058590" w14:textId="77777777" w:rsidTr="00033D24">
        <w:trPr>
          <w:trHeight w:val="405"/>
        </w:trPr>
        <w:tc>
          <w:tcPr>
            <w:tcW w:w="3936" w:type="dxa"/>
            <w:tcBorders>
              <w:top w:val="nil"/>
              <w:bottom w:val="nil"/>
            </w:tcBorders>
          </w:tcPr>
          <w:p w14:paraId="3C38A5D3" w14:textId="77777777" w:rsidR="00D361E3" w:rsidRPr="0016634C" w:rsidRDefault="00D361E3" w:rsidP="00366C66">
            <w:pPr>
              <w:spacing w:line="360" w:lineRule="auto"/>
              <w:rPr>
                <w:rFonts w:cs="Times New Roman"/>
                <w:i/>
              </w:rPr>
            </w:pPr>
            <w:r w:rsidRPr="0016634C">
              <w:rPr>
                <w:rFonts w:cs="Times New Roman"/>
                <w:i/>
              </w:rPr>
              <w:t>Owenodon hoggii</w:t>
            </w:r>
          </w:p>
        </w:tc>
        <w:tc>
          <w:tcPr>
            <w:tcW w:w="3260" w:type="dxa"/>
            <w:tcBorders>
              <w:top w:val="nil"/>
              <w:bottom w:val="nil"/>
            </w:tcBorders>
          </w:tcPr>
          <w:p w14:paraId="643E746E" w14:textId="77777777" w:rsidR="00D361E3" w:rsidRPr="0016634C" w:rsidRDefault="00D361E3" w:rsidP="005E67B6">
            <w:pPr>
              <w:spacing w:line="360" w:lineRule="auto"/>
              <w:rPr>
                <w:rFonts w:cs="Times New Roman"/>
              </w:rPr>
            </w:pPr>
            <w:r>
              <w:rPr>
                <w:rFonts w:cs="Times New Roman"/>
              </w:rPr>
              <w:t>90</w:t>
            </w:r>
            <w:r w:rsidRPr="0016634C">
              <w:rPr>
                <w:rFonts w:cs="Times New Roman"/>
              </w:rPr>
              <w:t>.</w:t>
            </w:r>
            <w:r>
              <w:rPr>
                <w:rFonts w:cs="Times New Roman"/>
              </w:rPr>
              <w:t>4</w:t>
            </w:r>
            <w:r w:rsidRPr="0016634C">
              <w:rPr>
                <w:rFonts w:cs="Times New Roman"/>
              </w:rPr>
              <w:t>%</w:t>
            </w:r>
          </w:p>
        </w:tc>
      </w:tr>
      <w:tr w:rsidR="00D361E3" w:rsidRPr="0016634C" w14:paraId="1A34F471" w14:textId="77777777" w:rsidTr="00033D24">
        <w:trPr>
          <w:trHeight w:val="405"/>
        </w:trPr>
        <w:tc>
          <w:tcPr>
            <w:tcW w:w="3936" w:type="dxa"/>
            <w:tcBorders>
              <w:top w:val="nil"/>
              <w:bottom w:val="nil"/>
            </w:tcBorders>
          </w:tcPr>
          <w:p w14:paraId="2DE1CAD7" w14:textId="77777777" w:rsidR="00D361E3" w:rsidRPr="0016634C" w:rsidRDefault="00D361E3" w:rsidP="00366C66">
            <w:pPr>
              <w:spacing w:line="360" w:lineRule="auto"/>
              <w:rPr>
                <w:rFonts w:cs="Times New Roman"/>
                <w:i/>
              </w:rPr>
            </w:pPr>
            <w:r w:rsidRPr="0016634C">
              <w:rPr>
                <w:rFonts w:cs="Times New Roman"/>
                <w:i/>
                <w:lang w:val="en-US"/>
              </w:rPr>
              <w:t>Echinodon becklesii</w:t>
            </w:r>
          </w:p>
        </w:tc>
        <w:tc>
          <w:tcPr>
            <w:tcW w:w="3260" w:type="dxa"/>
            <w:tcBorders>
              <w:top w:val="nil"/>
              <w:bottom w:val="nil"/>
            </w:tcBorders>
          </w:tcPr>
          <w:p w14:paraId="4A2F78AA" w14:textId="77777777" w:rsidR="00D361E3" w:rsidRDefault="00D361E3" w:rsidP="005E67B6">
            <w:pPr>
              <w:spacing w:line="360" w:lineRule="auto"/>
              <w:rPr>
                <w:rFonts w:cs="Times New Roman"/>
              </w:rPr>
            </w:pPr>
            <w:r w:rsidRPr="0016634C">
              <w:rPr>
                <w:rFonts w:cs="Times New Roman"/>
              </w:rPr>
              <w:t>8</w:t>
            </w:r>
            <w:r>
              <w:rPr>
                <w:rFonts w:cs="Times New Roman"/>
              </w:rPr>
              <w:t>9</w:t>
            </w:r>
            <w:r w:rsidRPr="0016634C">
              <w:rPr>
                <w:rFonts w:cs="Times New Roman"/>
              </w:rPr>
              <w:t>.</w:t>
            </w:r>
            <w:r>
              <w:rPr>
                <w:rFonts w:cs="Times New Roman"/>
              </w:rPr>
              <w:t>8</w:t>
            </w:r>
            <w:r w:rsidRPr="0016634C">
              <w:rPr>
                <w:rFonts w:cs="Times New Roman"/>
              </w:rPr>
              <w:t>%</w:t>
            </w:r>
          </w:p>
        </w:tc>
      </w:tr>
      <w:tr w:rsidR="00D361E3" w:rsidRPr="0016634C" w14:paraId="118D5598" w14:textId="77777777" w:rsidTr="00033D24">
        <w:trPr>
          <w:trHeight w:val="405"/>
        </w:trPr>
        <w:tc>
          <w:tcPr>
            <w:tcW w:w="3936" w:type="dxa"/>
            <w:tcBorders>
              <w:top w:val="nil"/>
              <w:bottom w:val="nil"/>
            </w:tcBorders>
          </w:tcPr>
          <w:p w14:paraId="7C924EFD" w14:textId="77777777" w:rsidR="00D361E3" w:rsidRPr="0016634C" w:rsidRDefault="00D361E3" w:rsidP="00366C66">
            <w:pPr>
              <w:spacing w:line="360" w:lineRule="auto"/>
              <w:rPr>
                <w:rFonts w:cs="Times New Roman"/>
                <w:i/>
              </w:rPr>
            </w:pPr>
            <w:r w:rsidRPr="0016634C">
              <w:rPr>
                <w:rFonts w:cs="Times New Roman"/>
                <w:b/>
                <w:i/>
                <w:lang w:val="en-US"/>
              </w:rPr>
              <w:t>Qantassaurus intrepidus</w:t>
            </w:r>
          </w:p>
        </w:tc>
        <w:tc>
          <w:tcPr>
            <w:tcW w:w="3260" w:type="dxa"/>
            <w:tcBorders>
              <w:top w:val="nil"/>
              <w:bottom w:val="nil"/>
            </w:tcBorders>
          </w:tcPr>
          <w:p w14:paraId="13ED4C1B" w14:textId="77777777" w:rsidR="00D361E3" w:rsidRDefault="00D361E3" w:rsidP="005E67B6">
            <w:pPr>
              <w:spacing w:line="360" w:lineRule="auto"/>
              <w:rPr>
                <w:rFonts w:cs="Times New Roman"/>
              </w:rPr>
            </w:pPr>
            <w:r w:rsidRPr="0016634C">
              <w:rPr>
                <w:rFonts w:cs="Times New Roman"/>
              </w:rPr>
              <w:t>8</w:t>
            </w:r>
            <w:r>
              <w:rPr>
                <w:rFonts w:cs="Times New Roman"/>
              </w:rPr>
              <w:t>9</w:t>
            </w:r>
            <w:r w:rsidRPr="0016634C">
              <w:rPr>
                <w:rFonts w:cs="Times New Roman"/>
              </w:rPr>
              <w:t>.</w:t>
            </w:r>
            <w:r>
              <w:rPr>
                <w:rFonts w:cs="Times New Roman"/>
              </w:rPr>
              <w:t>7</w:t>
            </w:r>
            <w:r w:rsidRPr="0016634C">
              <w:rPr>
                <w:rFonts w:cs="Times New Roman"/>
              </w:rPr>
              <w:t>%</w:t>
            </w:r>
          </w:p>
        </w:tc>
      </w:tr>
      <w:tr w:rsidR="00D361E3" w:rsidRPr="0016634C" w14:paraId="4BC43CB1" w14:textId="77777777" w:rsidTr="00033D24">
        <w:trPr>
          <w:trHeight w:val="386"/>
        </w:trPr>
        <w:tc>
          <w:tcPr>
            <w:tcW w:w="3936" w:type="dxa"/>
            <w:tcBorders>
              <w:top w:val="nil"/>
              <w:bottom w:val="nil"/>
            </w:tcBorders>
          </w:tcPr>
          <w:p w14:paraId="76195B04" w14:textId="77777777" w:rsidR="00D361E3" w:rsidRPr="0016634C" w:rsidRDefault="00D361E3" w:rsidP="00366C66">
            <w:pPr>
              <w:spacing w:line="360" w:lineRule="auto"/>
              <w:rPr>
                <w:rFonts w:cs="Times New Roman"/>
                <w:i/>
              </w:rPr>
            </w:pPr>
            <w:r w:rsidRPr="0016634C">
              <w:rPr>
                <w:rFonts w:cs="Times New Roman"/>
                <w:b/>
                <w:i/>
              </w:rPr>
              <w:t>Diluvicursor pickeringi</w:t>
            </w:r>
          </w:p>
        </w:tc>
        <w:tc>
          <w:tcPr>
            <w:tcW w:w="3260" w:type="dxa"/>
            <w:tcBorders>
              <w:top w:val="nil"/>
              <w:bottom w:val="nil"/>
            </w:tcBorders>
          </w:tcPr>
          <w:p w14:paraId="45C5AE80" w14:textId="77777777" w:rsidR="00D361E3" w:rsidRPr="0016634C" w:rsidRDefault="00D361E3" w:rsidP="005E67B6">
            <w:pPr>
              <w:spacing w:line="360" w:lineRule="auto"/>
              <w:rPr>
                <w:rFonts w:cs="Times New Roman"/>
              </w:rPr>
            </w:pPr>
            <w:r>
              <w:rPr>
                <w:rFonts w:cs="Times New Roman"/>
              </w:rPr>
              <w:t>89</w:t>
            </w:r>
            <w:r w:rsidRPr="0016634C">
              <w:rPr>
                <w:rFonts w:cs="Times New Roman"/>
              </w:rPr>
              <w:t>.</w:t>
            </w:r>
            <w:r>
              <w:rPr>
                <w:rFonts w:cs="Times New Roman"/>
              </w:rPr>
              <w:t>4</w:t>
            </w:r>
            <w:r w:rsidRPr="0016634C">
              <w:rPr>
                <w:rFonts w:cs="Times New Roman"/>
              </w:rPr>
              <w:t>%</w:t>
            </w:r>
          </w:p>
        </w:tc>
      </w:tr>
      <w:tr w:rsidR="00D361E3" w:rsidRPr="0016634C" w14:paraId="4EDC86D7" w14:textId="77777777" w:rsidTr="00033D24">
        <w:trPr>
          <w:trHeight w:val="405"/>
        </w:trPr>
        <w:tc>
          <w:tcPr>
            <w:tcW w:w="3936" w:type="dxa"/>
            <w:tcBorders>
              <w:top w:val="nil"/>
              <w:bottom w:val="nil"/>
            </w:tcBorders>
          </w:tcPr>
          <w:p w14:paraId="4259241F" w14:textId="77777777" w:rsidR="00D361E3" w:rsidRPr="0016634C" w:rsidRDefault="00D361E3" w:rsidP="00366C66">
            <w:pPr>
              <w:spacing w:line="360" w:lineRule="auto"/>
              <w:rPr>
                <w:rFonts w:cs="Times New Roman"/>
                <w:i/>
              </w:rPr>
            </w:pPr>
            <w:r w:rsidRPr="0016634C">
              <w:rPr>
                <w:rFonts w:cs="Times New Roman"/>
                <w:i/>
                <w:lang w:val="en-US"/>
              </w:rPr>
              <w:t>Mochlodon suessi</w:t>
            </w:r>
          </w:p>
        </w:tc>
        <w:tc>
          <w:tcPr>
            <w:tcW w:w="3260" w:type="dxa"/>
            <w:tcBorders>
              <w:top w:val="nil"/>
              <w:bottom w:val="nil"/>
            </w:tcBorders>
          </w:tcPr>
          <w:p w14:paraId="70CBA096" w14:textId="77777777" w:rsidR="00D361E3" w:rsidRPr="0016634C" w:rsidRDefault="00D361E3" w:rsidP="005E67B6">
            <w:pPr>
              <w:spacing w:line="360" w:lineRule="auto"/>
              <w:rPr>
                <w:rFonts w:cs="Times New Roman"/>
              </w:rPr>
            </w:pPr>
            <w:r w:rsidRPr="0016634C">
              <w:rPr>
                <w:rFonts w:cs="Times New Roman"/>
              </w:rPr>
              <w:t>8</w:t>
            </w:r>
            <w:r>
              <w:rPr>
                <w:rFonts w:cs="Times New Roman"/>
              </w:rPr>
              <w:t>9</w:t>
            </w:r>
            <w:r w:rsidRPr="0016634C">
              <w:rPr>
                <w:rFonts w:cs="Times New Roman"/>
              </w:rPr>
              <w:t>.</w:t>
            </w:r>
            <w:r>
              <w:rPr>
                <w:rFonts w:cs="Times New Roman"/>
              </w:rPr>
              <w:t>4</w:t>
            </w:r>
            <w:r w:rsidRPr="0016634C">
              <w:rPr>
                <w:rFonts w:cs="Times New Roman"/>
              </w:rPr>
              <w:t>%</w:t>
            </w:r>
          </w:p>
        </w:tc>
      </w:tr>
      <w:tr w:rsidR="00D361E3" w:rsidRPr="0016634C" w14:paraId="049B1F47" w14:textId="77777777" w:rsidTr="00033D24">
        <w:trPr>
          <w:trHeight w:val="386"/>
        </w:trPr>
        <w:tc>
          <w:tcPr>
            <w:tcW w:w="3936" w:type="dxa"/>
            <w:tcBorders>
              <w:top w:val="nil"/>
              <w:bottom w:val="nil"/>
            </w:tcBorders>
          </w:tcPr>
          <w:p w14:paraId="7D2DB2C1" w14:textId="77777777" w:rsidR="00D361E3" w:rsidRPr="0016634C" w:rsidRDefault="00D361E3" w:rsidP="00366C66">
            <w:pPr>
              <w:spacing w:line="360" w:lineRule="auto"/>
              <w:rPr>
                <w:rFonts w:cs="Times New Roman"/>
                <w:b/>
                <w:i/>
              </w:rPr>
            </w:pPr>
            <w:r w:rsidRPr="0016634C">
              <w:rPr>
                <w:rFonts w:cs="Times New Roman"/>
                <w:i/>
                <w:lang w:val="en-US"/>
              </w:rPr>
              <w:t>Yueosaurus tiantaiensis</w:t>
            </w:r>
          </w:p>
        </w:tc>
        <w:tc>
          <w:tcPr>
            <w:tcW w:w="3260" w:type="dxa"/>
            <w:tcBorders>
              <w:top w:val="nil"/>
              <w:bottom w:val="nil"/>
            </w:tcBorders>
          </w:tcPr>
          <w:p w14:paraId="5D2F8F59" w14:textId="77777777" w:rsidR="00D361E3" w:rsidRPr="0016634C" w:rsidRDefault="00D361E3" w:rsidP="005E67B6">
            <w:pPr>
              <w:spacing w:line="360" w:lineRule="auto"/>
              <w:rPr>
                <w:rFonts w:cs="Times New Roman"/>
              </w:rPr>
            </w:pPr>
            <w:r w:rsidRPr="0016634C">
              <w:rPr>
                <w:rFonts w:cs="Times New Roman"/>
              </w:rPr>
              <w:t>8</w:t>
            </w:r>
            <w:r>
              <w:rPr>
                <w:rFonts w:cs="Times New Roman"/>
              </w:rPr>
              <w:t>7</w:t>
            </w:r>
            <w:r w:rsidRPr="0016634C">
              <w:rPr>
                <w:rFonts w:cs="Times New Roman"/>
              </w:rPr>
              <w:t>.</w:t>
            </w:r>
            <w:r>
              <w:rPr>
                <w:rFonts w:cs="Times New Roman"/>
              </w:rPr>
              <w:t>4</w:t>
            </w:r>
            <w:r w:rsidRPr="0016634C">
              <w:rPr>
                <w:rFonts w:cs="Times New Roman"/>
              </w:rPr>
              <w:t>%</w:t>
            </w:r>
          </w:p>
        </w:tc>
      </w:tr>
      <w:tr w:rsidR="00D361E3" w:rsidRPr="0016634C" w14:paraId="027300EB" w14:textId="77777777" w:rsidTr="00033D24">
        <w:trPr>
          <w:trHeight w:val="405"/>
        </w:trPr>
        <w:tc>
          <w:tcPr>
            <w:tcW w:w="3936" w:type="dxa"/>
            <w:tcBorders>
              <w:top w:val="nil"/>
              <w:bottom w:val="nil"/>
            </w:tcBorders>
          </w:tcPr>
          <w:p w14:paraId="4E0BA761" w14:textId="77777777" w:rsidR="00D361E3" w:rsidRPr="0016634C" w:rsidRDefault="00D361E3" w:rsidP="00366C66">
            <w:pPr>
              <w:spacing w:line="360" w:lineRule="auto"/>
              <w:rPr>
                <w:rFonts w:cs="Times New Roman"/>
                <w:i/>
              </w:rPr>
            </w:pPr>
            <w:r w:rsidRPr="0016634C">
              <w:rPr>
                <w:rFonts w:cs="Times New Roman"/>
                <w:i/>
                <w:lang w:val="en-US"/>
              </w:rPr>
              <w:t>Macrogryphosaurus gondwanicus</w:t>
            </w:r>
          </w:p>
        </w:tc>
        <w:tc>
          <w:tcPr>
            <w:tcW w:w="3260" w:type="dxa"/>
            <w:tcBorders>
              <w:top w:val="nil"/>
              <w:bottom w:val="nil"/>
            </w:tcBorders>
          </w:tcPr>
          <w:p w14:paraId="3021241C" w14:textId="77777777" w:rsidR="00D361E3" w:rsidRPr="0016634C" w:rsidRDefault="00D361E3" w:rsidP="005E67B6">
            <w:pPr>
              <w:spacing w:line="360" w:lineRule="auto"/>
              <w:rPr>
                <w:rFonts w:cs="Times New Roman"/>
              </w:rPr>
            </w:pPr>
            <w:r w:rsidRPr="0016634C">
              <w:rPr>
                <w:rFonts w:cs="Times New Roman"/>
              </w:rPr>
              <w:t>87.</w:t>
            </w:r>
            <w:r>
              <w:rPr>
                <w:rFonts w:cs="Times New Roman"/>
              </w:rPr>
              <w:t>4</w:t>
            </w:r>
            <w:r w:rsidRPr="0016634C">
              <w:rPr>
                <w:rFonts w:cs="Times New Roman"/>
              </w:rPr>
              <w:t>%</w:t>
            </w:r>
          </w:p>
        </w:tc>
      </w:tr>
      <w:tr w:rsidR="00D361E3" w:rsidRPr="0016634C" w14:paraId="01324685" w14:textId="77777777" w:rsidTr="00033D24">
        <w:trPr>
          <w:trHeight w:val="405"/>
        </w:trPr>
        <w:tc>
          <w:tcPr>
            <w:tcW w:w="3936" w:type="dxa"/>
            <w:tcBorders>
              <w:top w:val="nil"/>
              <w:bottom w:val="nil"/>
            </w:tcBorders>
          </w:tcPr>
          <w:p w14:paraId="10F6FA6F" w14:textId="77777777" w:rsidR="00D361E3" w:rsidRPr="0016634C" w:rsidRDefault="00D361E3" w:rsidP="00366C66">
            <w:pPr>
              <w:spacing w:line="360" w:lineRule="auto"/>
              <w:rPr>
                <w:rFonts w:cs="Times New Roman"/>
                <w:i/>
              </w:rPr>
            </w:pPr>
            <w:r w:rsidRPr="0016634C">
              <w:rPr>
                <w:rFonts w:cs="Times New Roman"/>
                <w:i/>
                <w:lang w:val="en-US"/>
              </w:rPr>
              <w:t>Koreanosaurus boseongensis</w:t>
            </w:r>
          </w:p>
        </w:tc>
        <w:tc>
          <w:tcPr>
            <w:tcW w:w="3260" w:type="dxa"/>
            <w:tcBorders>
              <w:top w:val="nil"/>
              <w:bottom w:val="nil"/>
            </w:tcBorders>
          </w:tcPr>
          <w:p w14:paraId="6DF23D9B" w14:textId="77777777" w:rsidR="00D361E3" w:rsidRPr="0016634C" w:rsidRDefault="00D361E3" w:rsidP="005E67B6">
            <w:pPr>
              <w:spacing w:line="360" w:lineRule="auto"/>
              <w:rPr>
                <w:rFonts w:cs="Times New Roman"/>
              </w:rPr>
            </w:pPr>
            <w:r w:rsidRPr="0016634C">
              <w:rPr>
                <w:rFonts w:cs="Times New Roman"/>
              </w:rPr>
              <w:t>84.</w:t>
            </w:r>
            <w:r>
              <w:rPr>
                <w:rFonts w:cs="Times New Roman"/>
              </w:rPr>
              <w:t>4</w:t>
            </w:r>
            <w:r w:rsidRPr="0016634C">
              <w:rPr>
                <w:rFonts w:cs="Times New Roman"/>
              </w:rPr>
              <w:t>%</w:t>
            </w:r>
          </w:p>
        </w:tc>
      </w:tr>
      <w:tr w:rsidR="00D361E3" w:rsidRPr="0016634C" w14:paraId="6683522F" w14:textId="77777777" w:rsidTr="00033D24">
        <w:trPr>
          <w:trHeight w:val="405"/>
        </w:trPr>
        <w:tc>
          <w:tcPr>
            <w:tcW w:w="3936" w:type="dxa"/>
            <w:tcBorders>
              <w:top w:val="nil"/>
              <w:bottom w:val="nil"/>
            </w:tcBorders>
          </w:tcPr>
          <w:p w14:paraId="00C7FC51" w14:textId="77777777" w:rsidR="00D361E3" w:rsidRPr="0016634C" w:rsidRDefault="00D361E3" w:rsidP="00366C66">
            <w:pPr>
              <w:spacing w:line="360" w:lineRule="auto"/>
              <w:rPr>
                <w:rFonts w:cs="Times New Roman"/>
                <w:i/>
                <w:lang w:val="en-US"/>
              </w:rPr>
            </w:pPr>
            <w:r w:rsidRPr="008905F8">
              <w:rPr>
                <w:rFonts w:cs="Times New Roman"/>
                <w:lang w:val="en-US"/>
              </w:rPr>
              <w:t>Vegagete ornithopod</w:t>
            </w:r>
          </w:p>
        </w:tc>
        <w:tc>
          <w:tcPr>
            <w:tcW w:w="3260" w:type="dxa"/>
            <w:tcBorders>
              <w:top w:val="nil"/>
              <w:bottom w:val="nil"/>
            </w:tcBorders>
          </w:tcPr>
          <w:p w14:paraId="1327520C" w14:textId="77777777" w:rsidR="00D361E3" w:rsidRPr="0016634C" w:rsidRDefault="00D361E3" w:rsidP="005E67B6">
            <w:pPr>
              <w:spacing w:line="360" w:lineRule="auto"/>
              <w:rPr>
                <w:rFonts w:cs="Times New Roman"/>
              </w:rPr>
            </w:pPr>
            <w:r>
              <w:rPr>
                <w:rFonts w:cs="Times New Roman"/>
              </w:rPr>
              <w:t>82</w:t>
            </w:r>
            <w:r w:rsidRPr="0016634C">
              <w:rPr>
                <w:rFonts w:cs="Times New Roman"/>
              </w:rPr>
              <w:t>.</w:t>
            </w:r>
            <w:r>
              <w:rPr>
                <w:rFonts w:cs="Times New Roman"/>
              </w:rPr>
              <w:t>4</w:t>
            </w:r>
            <w:r w:rsidRPr="0016634C">
              <w:rPr>
                <w:rFonts w:cs="Times New Roman"/>
              </w:rPr>
              <w:t>%</w:t>
            </w:r>
          </w:p>
        </w:tc>
      </w:tr>
      <w:tr w:rsidR="00D361E3" w:rsidRPr="0016634C" w14:paraId="3D1C3EE4" w14:textId="77777777" w:rsidTr="00033D24">
        <w:trPr>
          <w:trHeight w:val="386"/>
        </w:trPr>
        <w:tc>
          <w:tcPr>
            <w:tcW w:w="3936" w:type="dxa"/>
            <w:tcBorders>
              <w:top w:val="nil"/>
              <w:bottom w:val="nil"/>
            </w:tcBorders>
          </w:tcPr>
          <w:p w14:paraId="56F4D2FD" w14:textId="77777777" w:rsidR="00D361E3" w:rsidRPr="0016634C" w:rsidRDefault="00D361E3" w:rsidP="00366C66">
            <w:pPr>
              <w:spacing w:line="360" w:lineRule="auto"/>
              <w:rPr>
                <w:rFonts w:cs="Times New Roman"/>
                <w:i/>
              </w:rPr>
            </w:pPr>
            <w:r w:rsidRPr="0016634C">
              <w:rPr>
                <w:rFonts w:cs="Times New Roman"/>
                <w:b/>
                <w:i/>
                <w:lang w:val="en-US"/>
              </w:rPr>
              <w:t>Leaellynasaura amicagraphica</w:t>
            </w:r>
          </w:p>
        </w:tc>
        <w:tc>
          <w:tcPr>
            <w:tcW w:w="3260" w:type="dxa"/>
            <w:tcBorders>
              <w:top w:val="nil"/>
              <w:bottom w:val="nil"/>
            </w:tcBorders>
          </w:tcPr>
          <w:p w14:paraId="094F2A73" w14:textId="77777777" w:rsidR="00D361E3" w:rsidRPr="0016634C" w:rsidRDefault="00D361E3" w:rsidP="005E67B6">
            <w:pPr>
              <w:spacing w:line="360" w:lineRule="auto"/>
              <w:rPr>
                <w:rFonts w:cs="Times New Roman"/>
              </w:rPr>
            </w:pPr>
            <w:r w:rsidRPr="0016634C">
              <w:rPr>
                <w:rFonts w:cs="Times New Roman"/>
              </w:rPr>
              <w:t>8</w:t>
            </w:r>
            <w:r>
              <w:rPr>
                <w:rFonts w:cs="Times New Roman"/>
              </w:rPr>
              <w:t>1</w:t>
            </w:r>
            <w:r w:rsidRPr="0016634C">
              <w:rPr>
                <w:rFonts w:cs="Times New Roman"/>
              </w:rPr>
              <w:t>.</w:t>
            </w:r>
            <w:r>
              <w:rPr>
                <w:rFonts w:cs="Times New Roman"/>
              </w:rPr>
              <w:t>7</w:t>
            </w:r>
            <w:r w:rsidRPr="0016634C">
              <w:rPr>
                <w:rFonts w:cs="Times New Roman"/>
              </w:rPr>
              <w:t>%</w:t>
            </w:r>
          </w:p>
        </w:tc>
      </w:tr>
      <w:tr w:rsidR="00D361E3" w:rsidRPr="0016634C" w14:paraId="0B08FEDA" w14:textId="77777777" w:rsidTr="00033D24">
        <w:trPr>
          <w:trHeight w:val="405"/>
        </w:trPr>
        <w:tc>
          <w:tcPr>
            <w:tcW w:w="3936" w:type="dxa"/>
            <w:tcBorders>
              <w:top w:val="nil"/>
              <w:bottom w:val="single" w:sz="4" w:space="0" w:color="auto"/>
            </w:tcBorders>
          </w:tcPr>
          <w:p w14:paraId="7FA584BF" w14:textId="77777777" w:rsidR="00D361E3" w:rsidRPr="0016634C" w:rsidRDefault="00D361E3" w:rsidP="008905F8">
            <w:pPr>
              <w:spacing w:line="360" w:lineRule="auto"/>
              <w:rPr>
                <w:rFonts w:cs="Times New Roman"/>
                <w:i/>
                <w:lang w:val="en-US"/>
              </w:rPr>
            </w:pPr>
            <w:r>
              <w:rPr>
                <w:rFonts w:cs="Times New Roman"/>
                <w:i/>
                <w:lang w:val="en-US"/>
              </w:rPr>
              <w:t>Mochlodon</w:t>
            </w:r>
            <w:r w:rsidRPr="0016634C">
              <w:rPr>
                <w:rFonts w:cs="Times New Roman"/>
                <w:i/>
                <w:lang w:val="en-US"/>
              </w:rPr>
              <w:t xml:space="preserve"> </w:t>
            </w:r>
            <w:r>
              <w:rPr>
                <w:rFonts w:cs="Times New Roman"/>
                <w:i/>
                <w:lang w:val="en-US"/>
              </w:rPr>
              <w:t>vorosi</w:t>
            </w:r>
          </w:p>
        </w:tc>
        <w:tc>
          <w:tcPr>
            <w:tcW w:w="3260" w:type="dxa"/>
            <w:tcBorders>
              <w:top w:val="nil"/>
              <w:bottom w:val="single" w:sz="4" w:space="0" w:color="auto"/>
            </w:tcBorders>
          </w:tcPr>
          <w:p w14:paraId="0BE27E03" w14:textId="77777777" w:rsidR="00D361E3" w:rsidRPr="0016634C" w:rsidRDefault="00D361E3" w:rsidP="008905F8">
            <w:pPr>
              <w:spacing w:line="360" w:lineRule="auto"/>
              <w:rPr>
                <w:rFonts w:cs="Times New Roman"/>
              </w:rPr>
            </w:pPr>
            <w:r>
              <w:rPr>
                <w:rFonts w:cs="Times New Roman"/>
              </w:rPr>
              <w:t>79</w:t>
            </w:r>
            <w:r w:rsidRPr="0016634C">
              <w:rPr>
                <w:rFonts w:cs="Times New Roman"/>
              </w:rPr>
              <w:t>.</w:t>
            </w:r>
            <w:r>
              <w:rPr>
                <w:rFonts w:cs="Times New Roman"/>
              </w:rPr>
              <w:t>1</w:t>
            </w:r>
            <w:r w:rsidRPr="0016634C">
              <w:rPr>
                <w:rFonts w:cs="Times New Roman"/>
              </w:rPr>
              <w:t>%</w:t>
            </w:r>
          </w:p>
        </w:tc>
      </w:tr>
    </w:tbl>
    <w:p w14:paraId="7325A8CA" w14:textId="77777777" w:rsidR="00D361E3" w:rsidRDefault="00D361E3" w:rsidP="00366C66">
      <w:pPr>
        <w:spacing w:line="360" w:lineRule="auto"/>
        <w:ind w:firstLine="567"/>
      </w:pPr>
    </w:p>
    <w:p w14:paraId="06C9450C" w14:textId="77777777" w:rsidR="00D361E3" w:rsidRDefault="00D361E3" w:rsidP="00366C66">
      <w:pPr>
        <w:pStyle w:val="Heading1"/>
        <w:spacing w:line="360" w:lineRule="auto"/>
      </w:pPr>
    </w:p>
    <w:p w14:paraId="726A93FB" w14:textId="77777777" w:rsidR="00D361E3" w:rsidRDefault="00D361E3" w:rsidP="00366C66">
      <w:pPr>
        <w:pStyle w:val="Heading1"/>
        <w:spacing w:line="360" w:lineRule="auto"/>
      </w:pPr>
      <w:r>
        <w:br w:type="page"/>
      </w:r>
      <w:bookmarkStart w:id="3" w:name="_Toc400287917"/>
      <w:r>
        <w:t>3. Implied weighted K-factor selection</w:t>
      </w:r>
      <w:bookmarkEnd w:id="3"/>
    </w:p>
    <w:p w14:paraId="7DBBEDFB" w14:textId="77777777" w:rsidR="00D361E3" w:rsidRPr="00A640E3" w:rsidRDefault="00D361E3" w:rsidP="00366C66">
      <w:pPr>
        <w:spacing w:line="360" w:lineRule="auto"/>
        <w:rPr>
          <w:b/>
        </w:rPr>
      </w:pPr>
      <w:bookmarkStart w:id="4" w:name="_Toc235251006"/>
      <w:r>
        <w:rPr>
          <w:b/>
        </w:rPr>
        <w:t>Homoplasy and c</w:t>
      </w:r>
      <w:r w:rsidRPr="00A640E3">
        <w:rPr>
          <w:b/>
        </w:rPr>
        <w:t>haracter weight</w:t>
      </w:r>
      <w:bookmarkEnd w:id="4"/>
      <w:r>
        <w:rPr>
          <w:b/>
        </w:rPr>
        <w:t>ing</w:t>
      </w:r>
    </w:p>
    <w:p w14:paraId="2DA5A24E" w14:textId="77777777" w:rsidR="00D361E3" w:rsidRPr="00A640E3" w:rsidRDefault="00D361E3" w:rsidP="00366C66">
      <w:pPr>
        <w:pStyle w:val="BodyTextFirstIndent"/>
      </w:pPr>
      <w:r>
        <w:t>T</w:t>
      </w:r>
      <w:r w:rsidRPr="00A640E3">
        <w:t xml:space="preserve">he best fit a binomial character can achieve </w:t>
      </w:r>
      <w:r>
        <w:t xml:space="preserve">during a heuristic tree search in a cladistic analysis </w:t>
      </w:r>
      <w:r w:rsidRPr="00A640E3">
        <w:t xml:space="preserve">is one step </w:t>
      </w:r>
      <w:r>
        <w:rPr>
          <w:noProof/>
        </w:rPr>
        <w:t>(</w:t>
      </w:r>
      <w:r w:rsidRPr="00215FA7">
        <w:rPr>
          <w:noProof/>
        </w:rPr>
        <w:t>Farris, 1969</w:t>
      </w:r>
      <w:r>
        <w:rPr>
          <w:noProof/>
        </w:rPr>
        <w:t>)</w:t>
      </w:r>
      <w:r w:rsidRPr="00A640E3">
        <w:t xml:space="preserve">. Thus, a binary character is 100% consistent to the cladogram if it undergoes only one change (step) at a single node. A character that transforms its state in steps beyond one is less than 100% consistent and is homoplastic. </w:t>
      </w:r>
      <w:r>
        <w:t>H</w:t>
      </w:r>
      <w:r w:rsidRPr="00A640E3">
        <w:t xml:space="preserve">omoplasy naturally occurs </w:t>
      </w:r>
      <w:r>
        <w:t>during</w:t>
      </w:r>
      <w:r w:rsidRPr="00A640E3">
        <w:t xml:space="preserve"> evolution, which is evident </w:t>
      </w:r>
      <w:r>
        <w:t>as convergence</w:t>
      </w:r>
      <w:r w:rsidRPr="00A640E3">
        <w:t xml:space="preserve"> </w:t>
      </w:r>
      <w:r>
        <w:rPr>
          <w:noProof/>
        </w:rPr>
        <w:t>(</w:t>
      </w:r>
      <w:r w:rsidRPr="00215FA7">
        <w:rPr>
          <w:noProof/>
        </w:rPr>
        <w:t>e.g., Witmer, 1997, on the highly homoplastic character of the antorbital sinuses in dinosaurs</w:t>
      </w:r>
      <w:r>
        <w:rPr>
          <w:noProof/>
        </w:rPr>
        <w:t>).</w:t>
      </w:r>
      <w:r w:rsidRPr="00A640E3">
        <w:t xml:space="preserve"> Naturally occurring reversals (convergence) may be detected in a cladistic analysis. </w:t>
      </w:r>
      <w:r>
        <w:t>P</w:t>
      </w:r>
      <w:r w:rsidRPr="00A640E3">
        <w:t xml:space="preserve">roblematically, </w:t>
      </w:r>
      <w:r>
        <w:t xml:space="preserve">however, </w:t>
      </w:r>
      <w:r w:rsidRPr="00A640E3">
        <w:t xml:space="preserve">homoplastic character-state reversals can also result from coding </w:t>
      </w:r>
      <w:r>
        <w:t>(poorly construed characters) and scoring errors.</w:t>
      </w:r>
    </w:p>
    <w:p w14:paraId="4650685F" w14:textId="77777777" w:rsidR="00D361E3" w:rsidRPr="00A640E3" w:rsidRDefault="00D361E3" w:rsidP="00366C66">
      <w:pPr>
        <w:pStyle w:val="BodyTextFirstIndent"/>
      </w:pPr>
      <w:r w:rsidRPr="00A640E3">
        <w:t xml:space="preserve">In cladistic analyses, highly homoplastic characters that undergo multiple reversals are less reliable, or less consistent </w:t>
      </w:r>
      <w:r>
        <w:t>(</w:t>
      </w:r>
      <w:r>
        <w:rPr>
          <w:noProof/>
        </w:rPr>
        <w:t>Farris 1969)</w:t>
      </w:r>
      <w:r w:rsidRPr="00A640E3">
        <w:t xml:space="preserve">. </w:t>
      </w:r>
      <w:r w:rsidRPr="00DE4F8A">
        <w:t>During analyses, s</w:t>
      </w:r>
      <w:r w:rsidRPr="00990E27">
        <w:t>ome</w:t>
      </w:r>
      <w:r w:rsidRPr="00A640E3">
        <w:t xml:space="preserve"> characters </w:t>
      </w:r>
      <w:r>
        <w:t>are unstable, being</w:t>
      </w:r>
      <w:r w:rsidRPr="00A640E3">
        <w:t xml:space="preserve"> more homoplastic in some trees and less in others, while some characters perform poorly in all trees </w:t>
      </w:r>
      <w:r>
        <w:rPr>
          <w:noProof/>
        </w:rPr>
        <w:t>(Farris, 1969)</w:t>
      </w:r>
      <w:r w:rsidRPr="00A640E3">
        <w:t xml:space="preserve">. Still other characters have better fit in all trees, and in this </w:t>
      </w:r>
      <w:r>
        <w:t>aspect</w:t>
      </w:r>
      <w:r w:rsidRPr="00A640E3">
        <w:t xml:space="preserve"> are more reliable, or congruent </w:t>
      </w:r>
      <w:r>
        <w:rPr>
          <w:noProof/>
        </w:rPr>
        <w:t>(Farris, 1969)</w:t>
      </w:r>
      <w:r w:rsidRPr="00A640E3">
        <w:t xml:space="preserve">. </w:t>
      </w:r>
    </w:p>
    <w:p w14:paraId="15C0DCC8" w14:textId="77777777" w:rsidR="00D361E3" w:rsidRPr="00A640E3" w:rsidRDefault="00D361E3" w:rsidP="00366C66">
      <w:pPr>
        <w:pStyle w:val="BodyTextFirstIndent"/>
      </w:pPr>
      <w:r w:rsidRPr="00A640E3">
        <w:t xml:space="preserve">In a hypothetical character set in which all the characters are highly reliable, hierarchic correlations will emerge </w:t>
      </w:r>
      <w:r>
        <w:rPr>
          <w:noProof/>
        </w:rPr>
        <w:t>(</w:t>
      </w:r>
      <w:r w:rsidRPr="00A640E3">
        <w:rPr>
          <w:noProof/>
        </w:rPr>
        <w:t xml:space="preserve">following </w:t>
      </w:r>
      <w:r>
        <w:rPr>
          <w:noProof/>
        </w:rPr>
        <w:t>Farris, 1969)</w:t>
      </w:r>
      <w:r w:rsidRPr="00A640E3">
        <w:t xml:space="preserve">. In practice, correlation of hierarchical pattern will be evident in well-resolved groups following the strict consensus of the most parsimonious trees. Unreliable characters will vary </w:t>
      </w:r>
      <w:r>
        <w:t xml:space="preserve">from the expected phylogeny in </w:t>
      </w:r>
      <w:r w:rsidRPr="00A640E3">
        <w:t xml:space="preserve">random ways </w:t>
      </w:r>
      <w:r>
        <w:t>during</w:t>
      </w:r>
      <w:r w:rsidRPr="00A640E3">
        <w:t xml:space="preserve"> different analyses. Thus, according to Farris</w:t>
      </w:r>
      <w:r>
        <w:t xml:space="preserve"> (1969)</w:t>
      </w:r>
      <w:r w:rsidRPr="00A640E3">
        <w:t>, hierarchical patterns (groups/clades) are more likely to emerge from character data containing highly reliable characters than data sets containing highly unreliable characters.</w:t>
      </w:r>
    </w:p>
    <w:p w14:paraId="22E29716" w14:textId="77777777" w:rsidR="00D361E3" w:rsidRPr="00A640E3" w:rsidRDefault="00D361E3" w:rsidP="00366C66">
      <w:pPr>
        <w:pStyle w:val="BodyTextFirstIndent"/>
      </w:pPr>
      <w:r w:rsidRPr="00A640E3">
        <w:t>Under equal weighting methodology, the weight or value of each character is allocated an equal value (a character weight of 1), which seemingly allows the analysis of parsimony to determine re</w:t>
      </w:r>
      <w:r>
        <w:t xml:space="preserve">lationships without any </w:t>
      </w:r>
      <w:r w:rsidRPr="00DE4F8A">
        <w:rPr>
          <w:i/>
        </w:rPr>
        <w:t>a prior</w:t>
      </w:r>
      <w:r>
        <w:rPr>
          <w:i/>
        </w:rPr>
        <w:t>i</w:t>
      </w:r>
      <w:r w:rsidRPr="00A640E3">
        <w:t xml:space="preserve"> assumptions of the importance of some characters over others. Conceptually, equal weighting of characters during a</w:t>
      </w:r>
      <w:r>
        <w:t xml:space="preserve"> heuristic search implies </w:t>
      </w:r>
      <w:r w:rsidRPr="00A640E3">
        <w:t>no bias towards particular characters. However, equal weighting is</w:t>
      </w:r>
      <w:r>
        <w:t xml:space="preserve"> a misnomer as the reliability/quality</w:t>
      </w:r>
      <w:r w:rsidRPr="00A640E3">
        <w:t xml:space="preserve"> of characters inherently differ. </w:t>
      </w:r>
      <w:r>
        <w:t>U</w:t>
      </w:r>
      <w:r w:rsidRPr="00A640E3">
        <w:t xml:space="preserve">nder equal weighting, less reliable characters are </w:t>
      </w:r>
      <w:r>
        <w:t>in effect, arbitrarily up-weighted</w:t>
      </w:r>
      <w:r w:rsidRPr="00A640E3">
        <w:t xml:space="preserve"> to equal the </w:t>
      </w:r>
      <w:r>
        <w:t xml:space="preserve">weight of </w:t>
      </w:r>
      <w:r w:rsidRPr="00A640E3">
        <w:t>more reliable characters</w:t>
      </w:r>
      <w:r>
        <w:t xml:space="preserve"> </w:t>
      </w:r>
      <w:r>
        <w:rPr>
          <w:noProof/>
        </w:rPr>
        <w:t>(</w:t>
      </w:r>
      <w:r w:rsidRPr="00215FA7">
        <w:rPr>
          <w:noProof/>
        </w:rPr>
        <w:t>Goloboff, 1993</w:t>
      </w:r>
      <w:r>
        <w:rPr>
          <w:noProof/>
        </w:rPr>
        <w:t xml:space="preserve">; </w:t>
      </w:r>
      <w:r w:rsidRPr="00215FA7">
        <w:rPr>
          <w:noProof/>
        </w:rPr>
        <w:t>Goloboff et al., 2008</w:t>
      </w:r>
      <w:r>
        <w:rPr>
          <w:noProof/>
        </w:rPr>
        <w:t>)</w:t>
      </w:r>
      <w:r>
        <w:t xml:space="preserve">. </w:t>
      </w:r>
      <w:r w:rsidRPr="00A640E3">
        <w:t xml:space="preserve">Thus, equal weighting ignores potential differences in character congruence as a factor during parsimony analysis. According to </w:t>
      </w:r>
      <w:r w:rsidRPr="00A640E3">
        <w:rPr>
          <w:noProof/>
        </w:rPr>
        <w:t xml:space="preserve">Goloboff et al. </w:t>
      </w:r>
      <w:r>
        <w:rPr>
          <w:noProof/>
        </w:rPr>
        <w:t>(2008),</w:t>
      </w:r>
      <w:r w:rsidRPr="00A640E3">
        <w:t xml:space="preserve"> the weight of characters must be considered integral to the outcome of any analysis. However, while the potential importance of some characters over others is understood, reweighting of characters </w:t>
      </w:r>
      <w:r w:rsidRPr="00DE4F8A">
        <w:rPr>
          <w:i/>
        </w:rPr>
        <w:t>a prior</w:t>
      </w:r>
      <w:r>
        <w:rPr>
          <w:i/>
        </w:rPr>
        <w:t>i</w:t>
      </w:r>
      <w:r w:rsidRPr="00A640E3">
        <w:t xml:space="preserve">, based on arguments of importance, is often problematic </w:t>
      </w:r>
      <w:r>
        <w:rPr>
          <w:noProof/>
        </w:rPr>
        <w:t>(</w:t>
      </w:r>
      <w:r w:rsidRPr="00215FA7">
        <w:rPr>
          <w:noProof/>
        </w:rPr>
        <w:t>Kitching et al., 1998</w:t>
      </w:r>
      <w:r>
        <w:rPr>
          <w:noProof/>
        </w:rPr>
        <w:t>).</w:t>
      </w:r>
    </w:p>
    <w:p w14:paraId="69CAE3D5" w14:textId="77777777" w:rsidR="00D361E3" w:rsidRPr="00A640E3" w:rsidRDefault="00D361E3" w:rsidP="00366C66">
      <w:pPr>
        <w:spacing w:line="360" w:lineRule="auto"/>
      </w:pPr>
      <w:r w:rsidRPr="00A640E3">
        <w:rPr>
          <w:b/>
        </w:rPr>
        <w:t xml:space="preserve">Character weighting </w:t>
      </w:r>
      <w:r w:rsidRPr="00A640E3">
        <w:rPr>
          <w:b/>
          <w:i/>
        </w:rPr>
        <w:t>a posterior</w:t>
      </w:r>
      <w:r>
        <w:rPr>
          <w:b/>
          <w:i/>
        </w:rPr>
        <w:t>i</w:t>
      </w:r>
    </w:p>
    <w:p w14:paraId="27934F1A" w14:textId="77777777" w:rsidR="00D361E3" w:rsidRPr="00A640E3" w:rsidRDefault="00D361E3" w:rsidP="00684039">
      <w:pPr>
        <w:pStyle w:val="BodyTextFirstIndent"/>
      </w:pPr>
      <w:r>
        <w:t>In s</w:t>
      </w:r>
      <w:r w:rsidRPr="00A640E3">
        <w:t>imulation tests</w:t>
      </w:r>
      <w:r>
        <w:t xml:space="preserve"> conducted </w:t>
      </w:r>
      <w:r w:rsidRPr="00A640E3">
        <w:t xml:space="preserve">by </w:t>
      </w:r>
      <w:r w:rsidRPr="00215FA7">
        <w:rPr>
          <w:noProof/>
        </w:rPr>
        <w:t>Farris (1969)</w:t>
      </w:r>
      <w:r>
        <w:t>,</w:t>
      </w:r>
      <w:r>
        <w:rPr>
          <w:noProof/>
        </w:rPr>
        <w:t xml:space="preserve"> iterative</w:t>
      </w:r>
      <w:r>
        <w:t xml:space="preserve"> </w:t>
      </w:r>
      <w:r w:rsidRPr="00DE4F8A">
        <w:rPr>
          <w:i/>
        </w:rPr>
        <w:t>a posterior</w:t>
      </w:r>
      <w:r>
        <w:rPr>
          <w:i/>
        </w:rPr>
        <w:t>i</w:t>
      </w:r>
      <w:r w:rsidRPr="00A640E3">
        <w:t xml:space="preserve"> </w:t>
      </w:r>
      <w:r>
        <w:t xml:space="preserve">adjustment of character weighting was applied to the characters. Increasingly </w:t>
      </w:r>
      <w:r w:rsidRPr="00A640E3">
        <w:t>more homoplastic characters</w:t>
      </w:r>
      <w:r>
        <w:t xml:space="preserve"> were</w:t>
      </w:r>
      <w:r w:rsidRPr="00A640E3">
        <w:t xml:space="preserve"> increasingly d</w:t>
      </w:r>
      <w:r>
        <w:t>own-weighted.</w:t>
      </w:r>
      <w:r w:rsidRPr="00A640E3">
        <w:t xml:space="preserve"> </w:t>
      </w:r>
      <w:r>
        <w:t>Farris (1969) found that a logarithmic (</w:t>
      </w:r>
      <w:r w:rsidRPr="00A640E3">
        <w:t>concave</w:t>
      </w:r>
      <w:r>
        <w:t>)</w:t>
      </w:r>
      <w:r w:rsidRPr="00A640E3">
        <w:t xml:space="preserve"> function </w:t>
      </w:r>
      <w:r>
        <w:t xml:space="preserve">applied to characters </w:t>
      </w:r>
      <w:r w:rsidRPr="00A640E3">
        <w:t xml:space="preserve">gave the closest estimate of the true tree. </w:t>
      </w:r>
      <w:r w:rsidRPr="00215FA7">
        <w:rPr>
          <w:noProof/>
        </w:rPr>
        <w:t>Farris (1969)</w:t>
      </w:r>
      <w:r>
        <w:t xml:space="preserve"> also explored l</w:t>
      </w:r>
      <w:r w:rsidRPr="00A640E3">
        <w:t>inear and convex</w:t>
      </w:r>
      <w:r>
        <w:t>ly</w:t>
      </w:r>
      <w:r w:rsidRPr="00A640E3">
        <w:t xml:space="preserve"> decreasing functions</w:t>
      </w:r>
      <w:r>
        <w:t xml:space="preserve">; however, </w:t>
      </w:r>
      <w:r w:rsidRPr="00A640E3">
        <w:t xml:space="preserve">these functions </w:t>
      </w:r>
      <w:r>
        <w:t>were</w:t>
      </w:r>
      <w:r w:rsidRPr="00A640E3">
        <w:t xml:space="preserve"> inappropriate to the expected tree. According to </w:t>
      </w:r>
      <w:r w:rsidRPr="00215FA7">
        <w:rPr>
          <w:noProof/>
        </w:rPr>
        <w:t>Farris (1969)</w:t>
      </w:r>
      <w:r>
        <w:t xml:space="preserve">, </w:t>
      </w:r>
      <w:r w:rsidRPr="00A640E3">
        <w:t xml:space="preserve">a </w:t>
      </w:r>
      <w:r w:rsidRPr="002F322D">
        <w:t>“concave weight function … achieves a perfect estimate of the true tree even when unreliable characters outnumber reliable characters five to one</w:t>
      </w:r>
      <w:r w:rsidR="002F322D">
        <w:t>.”</w:t>
      </w:r>
      <w:r w:rsidRPr="00A640E3">
        <w:t xml:space="preserve"> On a concave function, the character weight rapidly decreases within a few extra steps from best fit (i.e., </w:t>
      </w:r>
      <w:r>
        <w:t xml:space="preserve">a character with </w:t>
      </w:r>
      <w:r w:rsidRPr="00A640E3">
        <w:t xml:space="preserve">no </w:t>
      </w:r>
      <w:r>
        <w:t>additional</w:t>
      </w:r>
      <w:r w:rsidRPr="00A640E3">
        <w:t xml:space="preserve"> steps</w:t>
      </w:r>
      <w:r>
        <w:t xml:space="preserve"> beyond one step</w:t>
      </w:r>
      <w:r w:rsidRPr="00A640E3">
        <w:t xml:space="preserve">). </w:t>
      </w:r>
      <w:r>
        <w:t>On a concave function, t</w:t>
      </w:r>
      <w:r w:rsidRPr="00A640E3">
        <w:t xml:space="preserve">he level of </w:t>
      </w:r>
      <w:r>
        <w:t>down weighting</w:t>
      </w:r>
      <w:r w:rsidRPr="00A640E3">
        <w:t xml:space="preserve"> </w:t>
      </w:r>
      <w:r>
        <w:t>also increases</w:t>
      </w:r>
      <w:r w:rsidRPr="00A640E3">
        <w:t xml:space="preserve"> in characters </w:t>
      </w:r>
      <w:r>
        <w:t xml:space="preserve">that are </w:t>
      </w:r>
      <w:r w:rsidRPr="00A640E3">
        <w:t>increasingly more homoplastic.</w:t>
      </w:r>
    </w:p>
    <w:p w14:paraId="594E616D" w14:textId="77777777" w:rsidR="00D361E3" w:rsidRPr="00A640E3" w:rsidRDefault="00D361E3" w:rsidP="00366C66">
      <w:pPr>
        <w:pStyle w:val="BodyTextFirstIndent"/>
      </w:pPr>
      <w:r w:rsidRPr="00A640E3">
        <w:t xml:space="preserve">Under </w:t>
      </w:r>
      <w:r>
        <w:t>an</w:t>
      </w:r>
      <w:r w:rsidRPr="00A640E3">
        <w:t xml:space="preserve"> iterative </w:t>
      </w:r>
      <w:r w:rsidRPr="006A6C2F">
        <w:rPr>
          <w:i/>
        </w:rPr>
        <w:t>a posteriori</w:t>
      </w:r>
      <w:r w:rsidRPr="00A640E3">
        <w:t xml:space="preserve"> weighting method called successive weighting, developed by </w:t>
      </w:r>
      <w:r w:rsidRPr="00215FA7">
        <w:rPr>
          <w:noProof/>
        </w:rPr>
        <w:t>Farris (1969)</w:t>
      </w:r>
      <w:r>
        <w:t xml:space="preserve">, </w:t>
      </w:r>
      <w:r w:rsidRPr="00A640E3">
        <w:t>characters are re</w:t>
      </w:r>
      <w:r>
        <w:t>-</w:t>
      </w:r>
      <w:r w:rsidRPr="00A640E3">
        <w:t xml:space="preserve">weighted based upon consistency to the expected true phyletic tree from the data set. Successive trees are constructed from characters that have been weighted based upon their reliability in the preceding tree. Thus, under </w:t>
      </w:r>
      <w:r w:rsidRPr="00DE4F8A">
        <w:rPr>
          <w:i/>
        </w:rPr>
        <w:t>a posterior</w:t>
      </w:r>
      <w:r>
        <w:rPr>
          <w:i/>
        </w:rPr>
        <w:t>i</w:t>
      </w:r>
      <w:r w:rsidRPr="00A640E3">
        <w:t xml:space="preserve"> weighting methodology, characters are down-weighted during the analysis according to their degree of homoplasy, which is measured by the consistency, or fit of the character during the analysis. These analyses are therefore self-consistent </w:t>
      </w:r>
      <w:r>
        <w:rPr>
          <w:noProof/>
        </w:rPr>
        <w:t>(Goloboff, 1993)</w:t>
      </w:r>
      <w:r w:rsidRPr="00A640E3">
        <w:t>.</w:t>
      </w:r>
    </w:p>
    <w:p w14:paraId="2EFC694B" w14:textId="77777777" w:rsidR="00D361E3" w:rsidRPr="00A640E3" w:rsidRDefault="00D361E3" w:rsidP="00366C66">
      <w:pPr>
        <w:pStyle w:val="BodyTextFirstIndent"/>
      </w:pPr>
      <w:r w:rsidRPr="00A640E3">
        <w:t>The degree of homoplasy of each character is determined by the number of extra steps beyond that of best fit (i.e.</w:t>
      </w:r>
      <w:r>
        <w:t>,</w:t>
      </w:r>
      <w:r w:rsidRPr="00A640E3">
        <w:t xml:space="preserve"> additional steps beyond 1) on a logarithmic curve, controlled by the concavity constant (</w:t>
      </w:r>
      <w:r w:rsidRPr="00A640E3">
        <w:rPr>
          <w:i/>
        </w:rPr>
        <w:t>k</w:t>
      </w:r>
      <w:r w:rsidRPr="00A640E3">
        <w:t xml:space="preserve">). The weight (W) of a character is calculated by W= </w:t>
      </w:r>
      <w:r w:rsidRPr="00A640E3">
        <w:rPr>
          <w:i/>
        </w:rPr>
        <w:t>k</w:t>
      </w:r>
      <w:r w:rsidRPr="00A640E3">
        <w:t>/(</w:t>
      </w:r>
      <w:r w:rsidRPr="00A640E3">
        <w:rPr>
          <w:i/>
        </w:rPr>
        <w:t>k</w:t>
      </w:r>
      <w:r w:rsidRPr="00A640E3">
        <w:t xml:space="preserve">+1), where W equals the weight and k is the concavity constant </w:t>
      </w:r>
      <w:r>
        <w:rPr>
          <w:noProof/>
        </w:rPr>
        <w:t>Farris (1969)</w:t>
      </w:r>
      <w:r w:rsidRPr="00A640E3">
        <w:t xml:space="preserve">. </w:t>
      </w:r>
      <w:r>
        <w:t>A</w:t>
      </w:r>
      <w:r w:rsidRPr="00A640E3">
        <w:t xml:space="preserve"> low concavity constant (e.g., </w:t>
      </w:r>
      <w:r w:rsidRPr="00A640E3">
        <w:rPr>
          <w:i/>
        </w:rPr>
        <w:t>k</w:t>
      </w:r>
      <w:r w:rsidRPr="00A640E3">
        <w:t>=1) results in a highly concave curve (</w:t>
      </w:r>
      <w:r>
        <w:t>Fig. C2.1</w:t>
      </w:r>
      <w:r w:rsidRPr="00A640E3">
        <w:t xml:space="preserve">). Thus, in a highly concave weighting function, such as </w:t>
      </w:r>
      <w:r w:rsidRPr="00A640E3">
        <w:rPr>
          <w:i/>
        </w:rPr>
        <w:t>k</w:t>
      </w:r>
      <w:r w:rsidRPr="00A640E3">
        <w:t xml:space="preserve">=1, a low number of </w:t>
      </w:r>
      <w:r>
        <w:t>additional steps (reversals)</w:t>
      </w:r>
      <w:r w:rsidRPr="00A640E3">
        <w:t xml:space="preserve"> applies an aggressive reduction in weight to characters with one additional step, while weight reduction is increasingly less for increasingly homoplastic characters. </w:t>
      </w:r>
      <w:r>
        <w:t xml:space="preserve">Thus, </w:t>
      </w:r>
      <w:r w:rsidRPr="00A640E3">
        <w:t xml:space="preserve">the optimal </w:t>
      </w:r>
      <w:r w:rsidRPr="00A640E3">
        <w:rPr>
          <w:i/>
        </w:rPr>
        <w:t>k</w:t>
      </w:r>
      <w:r w:rsidRPr="00A640E3">
        <w:t xml:space="preserve"> value is not too low and not too high</w:t>
      </w:r>
      <w:r>
        <w:t xml:space="preserve"> (</w:t>
      </w:r>
      <w:r w:rsidRPr="00A640E3">
        <w:rPr>
          <w:noProof/>
        </w:rPr>
        <w:t>Farris</w:t>
      </w:r>
      <w:r>
        <w:rPr>
          <w:noProof/>
        </w:rPr>
        <w:t>, 1969)</w:t>
      </w:r>
      <w:r w:rsidRPr="00A640E3">
        <w:t>. A low value, such as ‘1’ will result in a clique (an unnatural grouping), while a high value approaches that of equal weighting (Fig. C</w:t>
      </w:r>
      <w:r>
        <w:t>2</w:t>
      </w:r>
      <w:r w:rsidRPr="00A640E3">
        <w:t>.</w:t>
      </w:r>
      <w:r>
        <w:t>1</w:t>
      </w:r>
      <w:r w:rsidRPr="00A640E3">
        <w:t>).</w:t>
      </w:r>
    </w:p>
    <w:p w14:paraId="24601BCB" w14:textId="77777777" w:rsidR="00D361E3" w:rsidRPr="00A640E3" w:rsidRDefault="00D361E3" w:rsidP="00366C66">
      <w:pPr>
        <w:spacing w:line="360" w:lineRule="auto"/>
        <w:jc w:val="center"/>
        <w:rPr>
          <w:sz w:val="20"/>
          <w:szCs w:val="20"/>
        </w:rPr>
      </w:pPr>
      <w:r w:rsidRPr="00DE4F8A">
        <w:rPr>
          <w:b/>
          <w:noProof/>
          <w:color w:val="0000FF"/>
          <w:lang w:val="en-US"/>
        </w:rPr>
        <w:drawing>
          <wp:inline distT="0" distB="0" distL="0" distR="0" wp14:anchorId="5995483B" wp14:editId="4F00D7EC">
            <wp:extent cx="5270500" cy="1625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k1-Plot.eps"/>
                    <pic:cNvPicPr/>
                  </pic:nvPicPr>
                  <pic:blipFill>
                    <a:blip r:embed="rId8">
                      <a:extLst>
                        <a:ext uri="{28A0092B-C50C-407E-A947-70E740481C1C}">
                          <a14:useLocalDpi xmlns:a14="http://schemas.microsoft.com/office/drawing/2010/main"/>
                        </a:ext>
                      </a:extLst>
                    </a:blip>
                    <a:stretch>
                      <a:fillRect/>
                    </a:stretch>
                  </pic:blipFill>
                  <pic:spPr>
                    <a:xfrm>
                      <a:off x="0" y="0"/>
                      <a:ext cx="5270500" cy="1625600"/>
                    </a:xfrm>
                    <a:prstGeom prst="rect">
                      <a:avLst/>
                    </a:prstGeom>
                  </pic:spPr>
                </pic:pic>
              </a:graphicData>
            </a:graphic>
          </wp:inline>
        </w:drawing>
      </w:r>
    </w:p>
    <w:p w14:paraId="16170168" w14:textId="77777777" w:rsidR="00D361E3" w:rsidRPr="002F322D" w:rsidRDefault="00D361E3" w:rsidP="00366C66">
      <w:pPr>
        <w:spacing w:line="360" w:lineRule="auto"/>
        <w:rPr>
          <w:sz w:val="22"/>
          <w:szCs w:val="22"/>
        </w:rPr>
      </w:pPr>
      <w:r w:rsidRPr="002F322D">
        <w:rPr>
          <w:b/>
          <w:sz w:val="22"/>
          <w:szCs w:val="22"/>
        </w:rPr>
        <w:t>Above:</w:t>
      </w:r>
      <w:r w:rsidRPr="002F322D">
        <w:rPr>
          <w:sz w:val="22"/>
          <w:szCs w:val="22"/>
        </w:rPr>
        <w:t xml:space="preserve"> </w:t>
      </w:r>
      <w:r w:rsidR="002F322D">
        <w:rPr>
          <w:sz w:val="22"/>
          <w:szCs w:val="22"/>
        </w:rPr>
        <w:t>E</w:t>
      </w:r>
      <w:r w:rsidRPr="002F322D">
        <w:rPr>
          <w:sz w:val="22"/>
          <w:szCs w:val="22"/>
        </w:rPr>
        <w:t>xample plots of concavity constants upon which a posteriori weighting methods are based. Increasing values of k approaches equal character weighting (=1). Abbreviations: IW(k#) = Implied weighting concavity constant; and W = character weight.</w:t>
      </w:r>
    </w:p>
    <w:p w14:paraId="0B9DB146" w14:textId="77777777" w:rsidR="00D361E3" w:rsidRPr="00A640E3" w:rsidRDefault="00D361E3" w:rsidP="00366C66">
      <w:pPr>
        <w:spacing w:line="360" w:lineRule="auto"/>
        <w:rPr>
          <w:b/>
          <w:color w:val="0000FF"/>
        </w:rPr>
      </w:pPr>
    </w:p>
    <w:p w14:paraId="3BA690A3" w14:textId="77777777" w:rsidR="00D361E3" w:rsidRPr="00A640E3" w:rsidRDefault="00D361E3" w:rsidP="00366C66">
      <w:pPr>
        <w:spacing w:line="360" w:lineRule="auto"/>
      </w:pPr>
      <w:r w:rsidRPr="00A640E3">
        <w:rPr>
          <w:b/>
        </w:rPr>
        <w:t>Basis for implied weighting method (in TNT)</w:t>
      </w:r>
    </w:p>
    <w:p w14:paraId="00079EA0" w14:textId="77777777" w:rsidR="00D361E3" w:rsidRPr="00A640E3" w:rsidRDefault="00D361E3" w:rsidP="00366C66">
      <w:pPr>
        <w:pStyle w:val="BodyTextFirstIndent"/>
      </w:pPr>
      <w:r>
        <w:t xml:space="preserve">Under implied weighting, </w:t>
      </w:r>
      <w:r w:rsidRPr="00A640E3">
        <w:t>the weight of a homoplastic character is determined during the succession of heuristic tree searches. Homoplastic characters are down-weighted to values below the optimum (i.e.</w:t>
      </w:r>
      <w:r>
        <w:t>,</w:t>
      </w:r>
      <w:r w:rsidR="002F322D">
        <w:t xml:space="preserve"> fractions &lt;1</w:t>
      </w:r>
      <w:r w:rsidRPr="00A640E3">
        <w:t>), as determined by the concavity constant (</w:t>
      </w:r>
      <w:r w:rsidRPr="00A640E3">
        <w:rPr>
          <w:i/>
        </w:rPr>
        <w:t>k</w:t>
      </w:r>
      <w:r w:rsidRPr="00A640E3">
        <w:t xml:space="preserve">). As the best fit all characters can have </w:t>
      </w:r>
      <w:r>
        <w:t>one step</w:t>
      </w:r>
      <w:r w:rsidRPr="00A640E3">
        <w:t xml:space="preserve">, the trees with the highest congruence will have the greatest length. In other words, the most parsimonious trees selected have the least amount of homoplasy. This conceptually differs from parsimony analysis through equal weighting where trees are selected by the shortest number of steps.  </w:t>
      </w:r>
    </w:p>
    <w:p w14:paraId="3F5D18B2" w14:textId="77777777" w:rsidR="00D361E3" w:rsidRPr="00A640E3" w:rsidRDefault="00D361E3" w:rsidP="00366C66">
      <w:pPr>
        <w:pStyle w:val="BodyTextFirstIndent"/>
      </w:pPr>
      <w:r w:rsidRPr="00A640E3">
        <w:t xml:space="preserve">According to </w:t>
      </w:r>
      <w:r w:rsidRPr="00A640E3">
        <w:rPr>
          <w:noProof/>
        </w:rPr>
        <w:t xml:space="preserve">Goloboff </w:t>
      </w:r>
      <w:r>
        <w:rPr>
          <w:noProof/>
        </w:rPr>
        <w:t>(1993)</w:t>
      </w:r>
      <w:r w:rsidRPr="00A640E3">
        <w:t xml:space="preserve">, there is no optimal value of </w:t>
      </w:r>
      <w:r w:rsidRPr="00A640E3">
        <w:rPr>
          <w:i/>
        </w:rPr>
        <w:t>k</w:t>
      </w:r>
      <w:r w:rsidRPr="00A640E3">
        <w:t xml:space="preserve"> that can be readily assigned as the best weighting function for all data sets. Different character data behave differently, and the most suitable value of </w:t>
      </w:r>
      <w:r w:rsidRPr="00A640E3">
        <w:rPr>
          <w:i/>
        </w:rPr>
        <w:t>k</w:t>
      </w:r>
      <w:r w:rsidRPr="00A640E3">
        <w:t xml:space="preserve"> will be matrix dependent </w:t>
      </w:r>
      <w:r>
        <w:rPr>
          <w:noProof/>
        </w:rPr>
        <w:t>(</w:t>
      </w:r>
      <w:r w:rsidRPr="00215FA7">
        <w:rPr>
          <w:noProof/>
        </w:rPr>
        <w:t>also see Mirande, 2009, p. 576</w:t>
      </w:r>
      <w:r>
        <w:rPr>
          <w:noProof/>
        </w:rPr>
        <w:t>)</w:t>
      </w:r>
      <w:r w:rsidRPr="00A640E3">
        <w:t xml:space="preserve">. Furthermore, different groups (clades) within the data are also likely to behave differently </w:t>
      </w:r>
      <w:r>
        <w:t>(</w:t>
      </w:r>
      <w:r w:rsidRPr="00A640E3">
        <w:rPr>
          <w:noProof/>
        </w:rPr>
        <w:t>Goloboff</w:t>
      </w:r>
      <w:r>
        <w:rPr>
          <w:noProof/>
        </w:rPr>
        <w:t>, 1993)</w:t>
      </w:r>
      <w:r w:rsidRPr="00A640E3">
        <w:t xml:space="preserve">. For this reason, a number of values for </w:t>
      </w:r>
      <w:r w:rsidRPr="00A640E3">
        <w:rPr>
          <w:i/>
        </w:rPr>
        <w:t>k</w:t>
      </w:r>
      <w:r w:rsidRPr="00A640E3">
        <w:t xml:space="preserve"> are typically applied, and the preferred strict consensus tree is chosen from the range of hypothesised trees from the IW analyses that consistently resolve similar group relationships </w:t>
      </w:r>
      <w:r>
        <w:rPr>
          <w:noProof/>
        </w:rPr>
        <w:t>(</w:t>
      </w:r>
      <w:r w:rsidRPr="00A640E3">
        <w:rPr>
          <w:noProof/>
        </w:rPr>
        <w:t>following Goloboff</w:t>
      </w:r>
      <w:r>
        <w:rPr>
          <w:noProof/>
        </w:rPr>
        <w:t>, 1993)</w:t>
      </w:r>
      <w:r w:rsidRPr="00A640E3">
        <w:t xml:space="preserve">. </w:t>
      </w:r>
      <w:r>
        <w:t>A</w:t>
      </w:r>
      <w:r w:rsidRPr="00A640E3">
        <w:t>lthough implied weighting is not a perfect method, it provides better resolution of potential relationships than is possible under equal weighting method</w:t>
      </w:r>
      <w:r>
        <w:t>s</w:t>
      </w:r>
      <w:r w:rsidRPr="00A640E3">
        <w:t xml:space="preserve"> </w:t>
      </w:r>
      <w:r>
        <w:t>(</w:t>
      </w:r>
      <w:r>
        <w:rPr>
          <w:noProof/>
        </w:rPr>
        <w:t>Goloboff, 1993; Goloboff et al., 2008)</w:t>
      </w:r>
      <w:r w:rsidRPr="00A640E3">
        <w:t>.</w:t>
      </w:r>
      <w:r w:rsidRPr="00974CC8">
        <w:t xml:space="preserve"> </w:t>
      </w:r>
      <w:r>
        <w:t xml:space="preserve">Following this approach, a </w:t>
      </w:r>
      <w:r w:rsidRPr="00984516">
        <w:rPr>
          <w:i/>
        </w:rPr>
        <w:t>k</w:t>
      </w:r>
      <w:r>
        <w:t xml:space="preserve"> value of 7.0 (k7) was decided for the IW analyses herein.</w:t>
      </w:r>
    </w:p>
    <w:p w14:paraId="718943D2" w14:textId="77777777" w:rsidR="00D361E3" w:rsidRPr="00A640E3" w:rsidRDefault="00D361E3" w:rsidP="00366C66">
      <w:pPr>
        <w:pStyle w:val="BodyTextFirstIndent"/>
        <w:jc w:val="center"/>
      </w:pPr>
      <w:r w:rsidRPr="00A640E3">
        <w:rPr>
          <w:noProof/>
          <w:lang w:val="en-US" w:eastAsia="en-US"/>
        </w:rPr>
        <w:drawing>
          <wp:inline distT="0" distB="0" distL="0" distR="0" wp14:anchorId="6E68666D" wp14:editId="362E60CE">
            <wp:extent cx="3044874" cy="224418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k7-Plot.eps"/>
                    <pic:cNvPicPr/>
                  </pic:nvPicPr>
                  <pic:blipFill>
                    <a:blip r:embed="rId9">
                      <a:extLst>
                        <a:ext uri="{28A0092B-C50C-407E-A947-70E740481C1C}">
                          <a14:useLocalDpi xmlns:a14="http://schemas.microsoft.com/office/drawing/2010/main"/>
                        </a:ext>
                      </a:extLst>
                    </a:blip>
                    <a:stretch>
                      <a:fillRect/>
                    </a:stretch>
                  </pic:blipFill>
                  <pic:spPr>
                    <a:xfrm>
                      <a:off x="0" y="0"/>
                      <a:ext cx="3046399" cy="2245310"/>
                    </a:xfrm>
                    <a:prstGeom prst="rect">
                      <a:avLst/>
                    </a:prstGeom>
                  </pic:spPr>
                </pic:pic>
              </a:graphicData>
            </a:graphic>
          </wp:inline>
        </w:drawing>
      </w:r>
    </w:p>
    <w:p w14:paraId="39FBD0FE" w14:textId="77777777" w:rsidR="00D361E3" w:rsidRPr="002F322D" w:rsidRDefault="00D361E3" w:rsidP="00366C66">
      <w:pPr>
        <w:pStyle w:val="bodytext1"/>
        <w:spacing w:line="360" w:lineRule="auto"/>
      </w:pPr>
      <w:r w:rsidRPr="002F322D">
        <w:rPr>
          <w:b/>
        </w:rPr>
        <w:t>Above:</w:t>
      </w:r>
      <w:r w:rsidRPr="002F322D">
        <w:t xml:space="preserve"> </w:t>
      </w:r>
      <w:r w:rsidR="002F322D">
        <w:t>P</w:t>
      </w:r>
      <w:r w:rsidRPr="002F322D">
        <w:t>lot of k7 concavity constant weighting for characters used in the cladistic analysis.</w:t>
      </w:r>
    </w:p>
    <w:p w14:paraId="0C8D63F0" w14:textId="77777777" w:rsidR="00D361E3" w:rsidRDefault="00D361E3" w:rsidP="00366C66">
      <w:pPr>
        <w:spacing w:line="360" w:lineRule="auto"/>
        <w:rPr>
          <w:rFonts w:ascii="Calibri" w:hAnsi="Calibri"/>
          <w:b/>
          <w:bCs/>
          <w:caps/>
          <w:sz w:val="26"/>
          <w:szCs w:val="26"/>
        </w:rPr>
      </w:pPr>
    </w:p>
    <w:p w14:paraId="273FA27D" w14:textId="77777777" w:rsidR="00D361E3" w:rsidRDefault="00D361E3">
      <w:r>
        <w:br w:type="page"/>
      </w:r>
    </w:p>
    <w:p w14:paraId="4F496702" w14:textId="77777777" w:rsidR="00D361E3" w:rsidRPr="004F4B3A" w:rsidRDefault="00D361E3" w:rsidP="004F4B3A">
      <w:pPr>
        <w:pStyle w:val="Heading1"/>
        <w:spacing w:line="360" w:lineRule="auto"/>
      </w:pPr>
      <w:bookmarkStart w:id="5" w:name="_Toc400287918"/>
      <w:r>
        <w:t>4. Support measures for the strict consensus trees</w:t>
      </w:r>
      <w:bookmarkEnd w:id="5"/>
    </w:p>
    <w:p w14:paraId="4E018A26" w14:textId="77777777" w:rsidR="00D361E3" w:rsidRPr="0018096A" w:rsidRDefault="00D361E3" w:rsidP="004F4B3A">
      <w:pPr>
        <w:spacing w:line="360" w:lineRule="auto"/>
        <w:rPr>
          <w:b/>
        </w:rPr>
      </w:pPr>
      <w:r w:rsidRPr="0018096A">
        <w:rPr>
          <w:b/>
        </w:rPr>
        <w:t xml:space="preserve">Equal weighted </w:t>
      </w:r>
      <w:r>
        <w:rPr>
          <w:b/>
        </w:rPr>
        <w:t xml:space="preserve">(EW) </w:t>
      </w:r>
      <w:r w:rsidRPr="0018096A">
        <w:rPr>
          <w:b/>
        </w:rPr>
        <w:t>search</w:t>
      </w:r>
      <w:r>
        <w:rPr>
          <w:b/>
        </w:rPr>
        <w:t>:</w:t>
      </w:r>
    </w:p>
    <w:p w14:paraId="2C1DA627" w14:textId="77777777" w:rsidR="00D361E3" w:rsidRDefault="00D361E3" w:rsidP="004F4B3A">
      <w:pPr>
        <w:spacing w:line="360" w:lineRule="auto"/>
        <w:ind w:firstLine="567"/>
      </w:pPr>
      <w:r>
        <w:t>To avoid cluttering</w:t>
      </w:r>
      <w:r w:rsidRPr="00200929">
        <w:t xml:space="preserve">, bootstrap and Bremer support values were omitted from Fig. 25.1. </w:t>
      </w:r>
      <w:r>
        <w:t>In the EW strict consensus tree below, top row numbers are bootstrap</w:t>
      </w:r>
      <w:r w:rsidRPr="00200929">
        <w:t xml:space="preserve"> support </w:t>
      </w:r>
      <w:r>
        <w:t xml:space="preserve">values reported </w:t>
      </w:r>
      <w:r w:rsidRPr="00200929">
        <w:t xml:space="preserve">as frequency </w:t>
      </w:r>
      <w:r>
        <w:t xml:space="preserve">distributions (see main text; only </w:t>
      </w:r>
      <w:r w:rsidRPr="00200929">
        <w:t xml:space="preserve">values </w:t>
      </w:r>
      <w:r>
        <w:t>&gt;</w:t>
      </w:r>
      <w:r w:rsidRPr="00200929">
        <w:t xml:space="preserve">20 </w:t>
      </w:r>
      <w:r>
        <w:t xml:space="preserve">are </w:t>
      </w:r>
      <w:r w:rsidRPr="00200929">
        <w:t>reported</w:t>
      </w:r>
      <w:r>
        <w:t>)</w:t>
      </w:r>
      <w:r w:rsidRPr="00200929">
        <w:t xml:space="preserve">. Bottom row </w:t>
      </w:r>
      <w:r>
        <w:t xml:space="preserve">numbers are Bremer values (only </w:t>
      </w:r>
      <w:r w:rsidRPr="00200929">
        <w:t xml:space="preserve">values </w:t>
      </w:r>
      <w:r>
        <w:t>&gt;</w:t>
      </w:r>
      <w:r w:rsidRPr="00200929">
        <w:t xml:space="preserve">1 </w:t>
      </w:r>
      <w:r>
        <w:t xml:space="preserve">are </w:t>
      </w:r>
      <w:r w:rsidRPr="00200929">
        <w:t>reported</w:t>
      </w:r>
      <w:r>
        <w:t>)</w:t>
      </w:r>
      <w:r w:rsidRPr="00200929">
        <w:t>.</w:t>
      </w:r>
    </w:p>
    <w:p w14:paraId="087BF18D" w14:textId="77777777" w:rsidR="00D361E3" w:rsidRDefault="00D361E3" w:rsidP="00366C66">
      <w:pPr>
        <w:spacing w:line="360" w:lineRule="auto"/>
      </w:pPr>
      <w:r>
        <w:rPr>
          <w:noProof/>
          <w:lang w:val="en-US"/>
        </w:rPr>
        <w:drawing>
          <wp:inline distT="0" distB="0" distL="0" distR="0" wp14:anchorId="2C448665" wp14:editId="5BE49613">
            <wp:extent cx="4814047" cy="6821068"/>
            <wp:effectExtent l="0" t="0" r="0" b="0"/>
            <wp:docPr id="8" name="Picture 8" descr="Macintosh HD:Palaeo Work:Qantassaurus &amp; Galleonosaurus:Phylogeny 2 (revised for re-submission):Revised MS phylogeny figures:output figures:Figures - Suppl R1-02 EW strict cons support valu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alaeo Work:Qantassaurus &amp; Galleonosaurus:Phylogeny 2 (revised for re-submission):Revised MS phylogeny figures:output figures:Figures - Suppl R1-02 EW strict cons support value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150" cy="6824047"/>
                    </a:xfrm>
                    <a:prstGeom prst="rect">
                      <a:avLst/>
                    </a:prstGeom>
                    <a:noFill/>
                    <a:ln>
                      <a:noFill/>
                    </a:ln>
                  </pic:spPr>
                </pic:pic>
              </a:graphicData>
            </a:graphic>
          </wp:inline>
        </w:drawing>
      </w:r>
    </w:p>
    <w:p w14:paraId="15EE575C" w14:textId="77777777" w:rsidR="00D361E3" w:rsidRDefault="00D361E3" w:rsidP="00366C66">
      <w:pPr>
        <w:spacing w:line="360" w:lineRule="auto"/>
      </w:pPr>
    </w:p>
    <w:p w14:paraId="739A338B" w14:textId="77777777" w:rsidR="00D361E3" w:rsidRDefault="00D361E3">
      <w:pPr>
        <w:rPr>
          <w:b/>
        </w:rPr>
      </w:pPr>
    </w:p>
    <w:p w14:paraId="7DB85480" w14:textId="77777777" w:rsidR="00D361E3" w:rsidRPr="0018096A" w:rsidRDefault="00D361E3" w:rsidP="0018096A">
      <w:pPr>
        <w:spacing w:line="360" w:lineRule="auto"/>
        <w:rPr>
          <w:b/>
        </w:rPr>
      </w:pPr>
      <w:r>
        <w:rPr>
          <w:b/>
        </w:rPr>
        <w:t>Implied</w:t>
      </w:r>
      <w:r w:rsidRPr="00E55B87">
        <w:rPr>
          <w:b/>
        </w:rPr>
        <w:t xml:space="preserve"> w</w:t>
      </w:r>
      <w:r>
        <w:rPr>
          <w:b/>
        </w:rPr>
        <w:t>eighted</w:t>
      </w:r>
      <w:r w:rsidRPr="00E55B87">
        <w:rPr>
          <w:b/>
        </w:rPr>
        <w:t xml:space="preserve"> </w:t>
      </w:r>
      <w:r>
        <w:rPr>
          <w:b/>
        </w:rPr>
        <w:t xml:space="preserve">(IW) </w:t>
      </w:r>
      <w:r w:rsidRPr="00E55B87">
        <w:rPr>
          <w:b/>
        </w:rPr>
        <w:t>search</w:t>
      </w:r>
    </w:p>
    <w:p w14:paraId="238EC031" w14:textId="77777777" w:rsidR="00D361E3" w:rsidRDefault="00D361E3" w:rsidP="0018096A">
      <w:pPr>
        <w:spacing w:line="360" w:lineRule="auto"/>
        <w:ind w:firstLine="567"/>
      </w:pPr>
      <w:r>
        <w:t>To avoid cluttering</w:t>
      </w:r>
      <w:r w:rsidRPr="00200929">
        <w:t xml:space="preserve">, </w:t>
      </w:r>
      <w:r>
        <w:t>symmetric resampling</w:t>
      </w:r>
      <w:r w:rsidRPr="00200929">
        <w:t xml:space="preserve"> and Bremer support va</w:t>
      </w:r>
      <w:r>
        <w:t>lues were omitted from Fig. 25.2</w:t>
      </w:r>
      <w:r w:rsidRPr="00200929">
        <w:t xml:space="preserve">. </w:t>
      </w:r>
      <w:r>
        <w:t>In the IW strict consensus tree below, top row numbers are symmetric resampling</w:t>
      </w:r>
      <w:r w:rsidRPr="00200929">
        <w:t xml:space="preserve"> support values</w:t>
      </w:r>
      <w:r>
        <w:t xml:space="preserve"> reported</w:t>
      </w:r>
      <w:r w:rsidRPr="00200929">
        <w:t xml:space="preserve"> as frequency</w:t>
      </w:r>
      <w:r>
        <w:t xml:space="preserve"> distributions (see main text; only </w:t>
      </w:r>
      <w:r w:rsidRPr="00200929">
        <w:t xml:space="preserve">values </w:t>
      </w:r>
      <w:r>
        <w:t>&gt;</w:t>
      </w:r>
      <w:r w:rsidRPr="00200929">
        <w:t xml:space="preserve">20 </w:t>
      </w:r>
      <w:r>
        <w:t xml:space="preserve">are </w:t>
      </w:r>
      <w:r w:rsidRPr="00200929">
        <w:t>reported</w:t>
      </w:r>
      <w:r>
        <w:t>)</w:t>
      </w:r>
      <w:r w:rsidRPr="00200929">
        <w:t xml:space="preserve">. Bottom row </w:t>
      </w:r>
      <w:r>
        <w:t>numbers</w:t>
      </w:r>
      <w:r w:rsidRPr="00200929">
        <w:t xml:space="preserve"> are Bremer valu</w:t>
      </w:r>
      <w:r>
        <w:t xml:space="preserve">es (only </w:t>
      </w:r>
      <w:r w:rsidRPr="00200929">
        <w:t xml:space="preserve">values </w:t>
      </w:r>
      <w:r>
        <w:t>&gt;fit scores of 0.08</w:t>
      </w:r>
      <w:r w:rsidRPr="00200929">
        <w:t xml:space="preserve"> </w:t>
      </w:r>
      <w:r>
        <w:t xml:space="preserve">are </w:t>
      </w:r>
      <w:r w:rsidRPr="00200929">
        <w:t>reported.</w:t>
      </w:r>
    </w:p>
    <w:p w14:paraId="366FDDDC" w14:textId="77777777" w:rsidR="00D361E3" w:rsidRPr="004F4B3A" w:rsidRDefault="00D361E3" w:rsidP="004F4B3A">
      <w:pPr>
        <w:spacing w:line="360" w:lineRule="auto"/>
        <w:rPr>
          <w:b/>
        </w:rPr>
      </w:pPr>
      <w:r>
        <w:rPr>
          <w:b/>
          <w:noProof/>
          <w:lang w:val="en-US"/>
        </w:rPr>
        <w:drawing>
          <wp:inline distT="0" distB="0" distL="0" distR="0" wp14:anchorId="6B5E3862" wp14:editId="18A5ED82">
            <wp:extent cx="4975412" cy="6897074"/>
            <wp:effectExtent l="0" t="0" r="3175" b="0"/>
            <wp:docPr id="9" name="Picture 9" descr="Macintosh HD:Palaeo Work:Qantassaurus &amp; Galleonosaurus:Phylogeny 2 (revised for re-submission):Revised MS phylogeny figures:output figures:Figures - Suppl R1-03 IW strict cons support valu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alaeo Work:Qantassaurus &amp; Galleonosaurus:Phylogeny 2 (revised for re-submission):Revised MS phylogeny figures:output figures:Figures - Suppl R1-03 IW strict cons support values.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6083" cy="6898004"/>
                    </a:xfrm>
                    <a:prstGeom prst="rect">
                      <a:avLst/>
                    </a:prstGeom>
                    <a:noFill/>
                    <a:ln>
                      <a:noFill/>
                    </a:ln>
                  </pic:spPr>
                </pic:pic>
              </a:graphicData>
            </a:graphic>
          </wp:inline>
        </w:drawing>
      </w:r>
    </w:p>
    <w:p w14:paraId="7C9F1463" w14:textId="77777777" w:rsidR="00D361E3" w:rsidRDefault="00D361E3" w:rsidP="0092681F">
      <w:pPr>
        <w:pStyle w:val="Heading1"/>
        <w:spacing w:line="360" w:lineRule="auto"/>
      </w:pPr>
      <w:bookmarkStart w:id="6" w:name="_Toc400287919"/>
      <w:r>
        <w:t>5. Iterative PCR</w:t>
      </w:r>
      <w:bookmarkEnd w:id="6"/>
    </w:p>
    <w:p w14:paraId="7DDE2780" w14:textId="77777777" w:rsidR="00D361E3" w:rsidRPr="00D464E3" w:rsidRDefault="00D361E3" w:rsidP="00F56CC5">
      <w:pPr>
        <w:spacing w:line="360" w:lineRule="auto"/>
        <w:rPr>
          <w:rFonts w:ascii="Calibri" w:hAnsi="Calibri"/>
          <w:b/>
          <w:bCs/>
          <w:caps/>
          <w:sz w:val="26"/>
          <w:szCs w:val="26"/>
        </w:rPr>
      </w:pPr>
      <w:r w:rsidRPr="00F56CC5">
        <w:rPr>
          <w:b/>
        </w:rPr>
        <w:t>Iterative PCR of the IW set of most parsimonious trees</w:t>
      </w:r>
    </w:p>
    <w:p w14:paraId="4E9E5E59" w14:textId="77777777" w:rsidR="00D361E3" w:rsidRDefault="00D361E3" w:rsidP="00F56CC5">
      <w:pPr>
        <w:spacing w:line="360" w:lineRule="auto"/>
        <w:ind w:firstLine="567"/>
      </w:pPr>
      <w:r>
        <w:t>Application of iterative PCR of the implied weighted (IW) set of 26 MPTs sequentially pruned:</w:t>
      </w:r>
    </w:p>
    <w:p w14:paraId="2C96581F" w14:textId="77777777" w:rsidR="00D361E3" w:rsidRDefault="00D361E3" w:rsidP="00F56CC5">
      <w:pPr>
        <w:spacing w:line="360" w:lineRule="auto"/>
        <w:ind w:firstLine="567"/>
      </w:pPr>
      <w:r>
        <w:t xml:space="preserve">1. </w:t>
      </w:r>
      <w:r>
        <w:rPr>
          <w:i/>
        </w:rPr>
        <w:t>Qantassaurus</w:t>
      </w:r>
      <w:r>
        <w:t xml:space="preserve"> (iteration 1)</w:t>
      </w:r>
    </w:p>
    <w:p w14:paraId="1EBF644C" w14:textId="77777777" w:rsidR="00D361E3" w:rsidRDefault="00D361E3" w:rsidP="00F56CC5">
      <w:pPr>
        <w:spacing w:line="360" w:lineRule="auto"/>
        <w:ind w:firstLine="567"/>
      </w:pPr>
      <w:r>
        <w:t xml:space="preserve">2. </w:t>
      </w:r>
      <w:r>
        <w:rPr>
          <w:i/>
        </w:rPr>
        <w:t>Diluvicursor</w:t>
      </w:r>
      <w:r>
        <w:t xml:space="preserve"> (iteration 2)</w:t>
      </w:r>
    </w:p>
    <w:p w14:paraId="2F777294" w14:textId="77777777" w:rsidR="00D361E3" w:rsidRDefault="00D361E3" w:rsidP="00F56CC5">
      <w:pPr>
        <w:spacing w:line="360" w:lineRule="auto"/>
        <w:ind w:firstLine="567"/>
      </w:pPr>
      <w:r>
        <w:t xml:space="preserve">The first iteration achieved the node Elasmaria, previously unresolved among basal ornithopods in the full IW strict consensus (see Figure 25.2). The second iteration produced additional resolution within Elasmaria, ultimately grouping </w:t>
      </w:r>
      <w:r w:rsidRPr="002118F0">
        <w:rPr>
          <w:i/>
        </w:rPr>
        <w:t>Galleonosaurus</w:t>
      </w:r>
      <w:r>
        <w:t xml:space="preserve"> and </w:t>
      </w:r>
      <w:r w:rsidRPr="002118F0">
        <w:rPr>
          <w:i/>
        </w:rPr>
        <w:t>Leaellynasaura</w:t>
      </w:r>
      <w:r>
        <w:t xml:space="preserve"> as sister taxa:</w:t>
      </w:r>
    </w:p>
    <w:p w14:paraId="14736FBC" w14:textId="77777777" w:rsidR="00D361E3" w:rsidRDefault="00D361E3" w:rsidP="008B4850">
      <w:pPr>
        <w:spacing w:line="360" w:lineRule="auto"/>
      </w:pPr>
      <w:r>
        <w:rPr>
          <w:noProof/>
          <w:lang w:val="en-US"/>
        </w:rPr>
        <w:drawing>
          <wp:inline distT="0" distB="0" distL="0" distR="0" wp14:anchorId="309548E7" wp14:editId="6A1A93FE">
            <wp:extent cx="2907660" cy="3513762"/>
            <wp:effectExtent l="0" t="0" r="0" b="0"/>
            <wp:docPr id="12" name="Picture 12" descr="Macintosh HD:Palaeo Work:Qantassaurus &amp; Galleonosaurus:Phylogeny 2 (revised for re-submission):Revised MS phylogeny figures:output figures:Figures - Suppl R1-04 PCR iterative gai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alaeo Work:Qantassaurus &amp; Galleonosaurus:Phylogeny 2 (revised for re-submission):Revised MS phylogeny figures:output figures:Figures - Suppl R1-04 PCR iterative gains.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657" cy="3518593"/>
                    </a:xfrm>
                    <a:prstGeom prst="rect">
                      <a:avLst/>
                    </a:prstGeom>
                    <a:noFill/>
                    <a:ln>
                      <a:noFill/>
                    </a:ln>
                  </pic:spPr>
                </pic:pic>
              </a:graphicData>
            </a:graphic>
          </wp:inline>
        </w:drawing>
      </w:r>
    </w:p>
    <w:p w14:paraId="2B923C37" w14:textId="77777777" w:rsidR="00D361E3" w:rsidRDefault="00D361E3" w:rsidP="0092681F">
      <w:pPr>
        <w:spacing w:line="360" w:lineRule="auto"/>
      </w:pPr>
    </w:p>
    <w:p w14:paraId="241CD74F" w14:textId="77777777" w:rsidR="00D361E3" w:rsidRPr="00F56CC5" w:rsidRDefault="00D361E3" w:rsidP="0092681F">
      <w:pPr>
        <w:spacing w:line="360" w:lineRule="auto"/>
        <w:rPr>
          <w:b/>
        </w:rPr>
      </w:pPr>
      <w:r w:rsidRPr="00F56CC5">
        <w:rPr>
          <w:b/>
        </w:rPr>
        <w:t>Iterative PCR of the EW set of most parsimonious trees</w:t>
      </w:r>
    </w:p>
    <w:p w14:paraId="017CB690" w14:textId="77777777" w:rsidR="00D361E3" w:rsidRDefault="00D361E3" w:rsidP="00857C63">
      <w:pPr>
        <w:spacing w:line="360" w:lineRule="auto"/>
        <w:ind w:firstLine="567"/>
      </w:pPr>
      <w:r>
        <w:t xml:space="preserve">As we reported in the main text, iterative PCR of the equally weighted (EW) set of 814 MPTs pruned the majority of neornithischian OTUs (41), including all taxa of particular interest to this work. The resulting strict consensus (based on 4 MPTs) of retained OTUs shows only 15 taxa: </w:t>
      </w:r>
      <w:r w:rsidRPr="00D464E3">
        <w:rPr>
          <w:i/>
        </w:rPr>
        <w:t>Herrerasaurus</w:t>
      </w:r>
      <w:r>
        <w:t xml:space="preserve">, heterodontosaurids, thyreophorans, </w:t>
      </w:r>
      <w:r w:rsidRPr="00D464E3">
        <w:rPr>
          <w:i/>
        </w:rPr>
        <w:t>Lesothosaurus</w:t>
      </w:r>
      <w:r>
        <w:t xml:space="preserve">, </w:t>
      </w:r>
      <w:r w:rsidRPr="00D464E3">
        <w:rPr>
          <w:i/>
        </w:rPr>
        <w:t>Agilisaurus</w:t>
      </w:r>
      <w:r>
        <w:t xml:space="preserve">, </w:t>
      </w:r>
      <w:r w:rsidRPr="00D464E3">
        <w:rPr>
          <w:i/>
        </w:rPr>
        <w:t>Yandusaurus</w:t>
      </w:r>
      <w:r>
        <w:t xml:space="preserve"> and </w:t>
      </w:r>
      <w:r w:rsidRPr="00D464E3">
        <w:rPr>
          <w:i/>
        </w:rPr>
        <w:t>Hexinlusaurus</w:t>
      </w:r>
      <w:r>
        <w:t>. Accordingly, we have elected not to report these results in any further detail.</w:t>
      </w:r>
    </w:p>
    <w:p w14:paraId="28746305" w14:textId="77777777" w:rsidR="00D361E3" w:rsidRDefault="00D361E3"/>
    <w:p w14:paraId="14076CD8" w14:textId="77777777" w:rsidR="00D361E3" w:rsidRDefault="00D361E3">
      <w:pPr>
        <w:rPr>
          <w:rFonts w:ascii="Calibri" w:hAnsi="Calibri"/>
          <w:b/>
          <w:bCs/>
          <w:caps/>
          <w:sz w:val="26"/>
          <w:szCs w:val="26"/>
        </w:rPr>
      </w:pPr>
      <w:r>
        <w:br w:type="page"/>
      </w:r>
    </w:p>
    <w:p w14:paraId="7BE75805" w14:textId="77777777" w:rsidR="00D361E3" w:rsidRDefault="00D361E3" w:rsidP="00950278">
      <w:pPr>
        <w:pStyle w:val="Heading1"/>
        <w:spacing w:line="360" w:lineRule="auto"/>
      </w:pPr>
      <w:bookmarkStart w:id="7" w:name="_Toc400287920"/>
      <w:r>
        <w:t>6. List of character state changes (optimized synapomorphies)</w:t>
      </w:r>
      <w:bookmarkEnd w:id="7"/>
    </w:p>
    <w:p w14:paraId="7528AD30" w14:textId="77777777" w:rsidR="00D361E3" w:rsidRDefault="00D361E3" w:rsidP="00E742C5">
      <w:pPr>
        <w:spacing w:line="360" w:lineRule="auto"/>
        <w:ind w:firstLine="567"/>
      </w:pPr>
      <w:r w:rsidRPr="0039602D">
        <w:t xml:space="preserve">The following is a list of supporting characters for selected nodes of the strict consensus following the </w:t>
      </w:r>
      <w:r w:rsidRPr="0039602D">
        <w:rPr>
          <w:i/>
        </w:rPr>
        <w:t>a priori</w:t>
      </w:r>
      <w:r w:rsidRPr="0039602D">
        <w:t xml:space="preserve"> exclusion of </w:t>
      </w:r>
      <w:r w:rsidRPr="0039602D">
        <w:rPr>
          <w:i/>
        </w:rPr>
        <w:t>Qantassaurus intrepidus</w:t>
      </w:r>
      <w:r w:rsidRPr="0039602D">
        <w:t xml:space="preserve">, </w:t>
      </w:r>
      <w:r>
        <w:t>after</w:t>
      </w:r>
      <w:r w:rsidRPr="0039602D">
        <w:t xml:space="preserve"> its identification as a wildcard taxon by the iterative PCR protocol (See main text; Fig. 26). The IW search </w:t>
      </w:r>
      <w:r>
        <w:t>produced 3</w:t>
      </w:r>
      <w:r w:rsidRPr="0039602D">
        <w:t xml:space="preserve"> MPTs, with the resulting strict consensus tree (depicted below) being 933 steps long (CI = 0.37; RI = 0.61). The </w:t>
      </w:r>
      <w:r>
        <w:t>annotations</w:t>
      </w:r>
      <w:r w:rsidRPr="0039602D">
        <w:t xml:space="preserve"> on the tree below identify </w:t>
      </w:r>
      <w:r>
        <w:t xml:space="preserve">the </w:t>
      </w:r>
      <w:r w:rsidRPr="0039602D">
        <w:t>selected nodes of interest</w:t>
      </w:r>
      <w:r>
        <w:t>, and their lists of supporting characters that follow</w:t>
      </w:r>
      <w:r w:rsidRPr="0039602D">
        <w:t xml:space="preserve">. </w:t>
      </w:r>
      <w:r>
        <w:t xml:space="preserve">Abbreviation: </w:t>
      </w:r>
      <w:r w:rsidRPr="0039602D">
        <w:t>MNT = More nested taxa</w:t>
      </w:r>
      <w:r>
        <w:t>.</w:t>
      </w:r>
    </w:p>
    <w:p w14:paraId="34890C4A" w14:textId="77777777" w:rsidR="00D361E3" w:rsidRDefault="00D361E3" w:rsidP="00E742C5">
      <w:pPr>
        <w:spacing w:line="360" w:lineRule="auto"/>
      </w:pPr>
      <w:r>
        <w:rPr>
          <w:noProof/>
          <w:lang w:val="en-US"/>
        </w:rPr>
        <w:drawing>
          <wp:inline distT="0" distB="0" distL="0" distR="0" wp14:anchorId="18AC5B75" wp14:editId="273D455D">
            <wp:extent cx="5143035" cy="6528987"/>
            <wp:effectExtent l="0" t="0" r="0" b="0"/>
            <wp:docPr id="7" name="Picture 7" descr="Macintosh HD:Palaeo Work:Qantassaurus &amp; Galleonosaurus:Phylogeny 2 (revised for re-submission):Revised MS phylogeny figures:output figures:Figures - Suppl R1-03 IW strict cons (Qantass excluded) nod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alaeo Work:Qantassaurus &amp; Galleonosaurus:Phylogeny 2 (revised for re-submission):Revised MS phylogeny figures:output figures:Figures - Suppl R1-03 IW strict cons (Qantass excluded) nodes.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035" cy="6528987"/>
                    </a:xfrm>
                    <a:prstGeom prst="rect">
                      <a:avLst/>
                    </a:prstGeom>
                    <a:noFill/>
                    <a:ln>
                      <a:noFill/>
                    </a:ln>
                  </pic:spPr>
                </pic:pic>
              </a:graphicData>
            </a:graphic>
          </wp:inline>
        </w:drawing>
      </w:r>
    </w:p>
    <w:p w14:paraId="08A9447C" w14:textId="77777777" w:rsidR="00D361E3" w:rsidRPr="00A21444" w:rsidRDefault="00D361E3" w:rsidP="00E742C5">
      <w:pPr>
        <w:spacing w:line="360" w:lineRule="auto"/>
        <w:rPr>
          <w:b/>
        </w:rPr>
      </w:pPr>
      <w:r w:rsidRPr="00A21444">
        <w:rPr>
          <w:b/>
        </w:rPr>
        <w:t xml:space="preserve">Node </w:t>
      </w:r>
      <w:r>
        <w:rPr>
          <w:b/>
        </w:rPr>
        <w:t>1</w:t>
      </w:r>
      <w:r w:rsidRPr="00A21444">
        <w:rPr>
          <w:b/>
        </w:rPr>
        <w:t xml:space="preserve">: </w:t>
      </w:r>
      <w:r w:rsidRPr="008D4EEB">
        <w:rPr>
          <w:b/>
          <w:i/>
        </w:rPr>
        <w:t>Lesothosaurus</w:t>
      </w:r>
      <w:r>
        <w:rPr>
          <w:b/>
        </w:rPr>
        <w:t xml:space="preserve"> + MNT (Neornithischia)</w:t>
      </w:r>
    </w:p>
    <w:p w14:paraId="60B4F51A" w14:textId="77777777" w:rsidR="00D361E3" w:rsidRPr="00A5611D" w:rsidRDefault="00D361E3" w:rsidP="00E742C5">
      <w:pPr>
        <w:spacing w:line="360" w:lineRule="auto"/>
        <w:ind w:firstLine="284"/>
        <w:rPr>
          <w:rFonts w:cs="Times New Roman"/>
        </w:rPr>
      </w:pPr>
      <w:r w:rsidRPr="00A5611D">
        <w:rPr>
          <w:rFonts w:cs="Times New Roman"/>
        </w:rPr>
        <w:t xml:space="preserve">Character 137: 0 </w:t>
      </w:r>
      <w:r w:rsidRPr="00A5611D">
        <w:rPr>
          <w:rFonts w:eastAsia="Times New Roman" w:cs="Times New Roman"/>
        </w:rPr>
        <w:t>→</w:t>
      </w:r>
      <w:r w:rsidRPr="00A5611D">
        <w:rPr>
          <w:rFonts w:cs="Times New Roman"/>
        </w:rPr>
        <w:t xml:space="preserve"> 1 </w:t>
      </w:r>
    </w:p>
    <w:p w14:paraId="192BDF28" w14:textId="77777777" w:rsidR="00D361E3" w:rsidRDefault="00D361E3" w:rsidP="00E742C5">
      <w:pPr>
        <w:spacing w:line="360" w:lineRule="auto"/>
        <w:ind w:firstLine="284"/>
        <w:rPr>
          <w:rFonts w:cs="Times New Roman"/>
        </w:rPr>
      </w:pPr>
      <w:r w:rsidRPr="00A5611D">
        <w:rPr>
          <w:rFonts w:cs="Times New Roman"/>
        </w:rPr>
        <w:t xml:space="preserve">Character 163: 0 </w:t>
      </w:r>
      <w:r>
        <w:rPr>
          <w:rFonts w:cs="Times New Roman"/>
        </w:rPr>
        <w:t>→</w:t>
      </w:r>
      <w:r w:rsidRPr="00A5611D">
        <w:rPr>
          <w:rFonts w:cs="Times New Roman"/>
        </w:rPr>
        <w:t xml:space="preserve"> 1 </w:t>
      </w:r>
    </w:p>
    <w:p w14:paraId="431CCCE9" w14:textId="77777777" w:rsidR="00D361E3" w:rsidRDefault="00D361E3" w:rsidP="00362C2A">
      <w:pPr>
        <w:spacing w:line="360" w:lineRule="auto"/>
        <w:ind w:firstLine="284"/>
        <w:rPr>
          <w:rFonts w:cs="Times New Roman"/>
        </w:rPr>
      </w:pPr>
      <w:r w:rsidRPr="00A5611D">
        <w:rPr>
          <w:rFonts w:cs="Times New Roman"/>
        </w:rPr>
        <w:t xml:space="preserve">Character 244: 0 </w:t>
      </w:r>
      <w:r>
        <w:rPr>
          <w:rFonts w:cs="Times New Roman"/>
        </w:rPr>
        <w:t>→</w:t>
      </w:r>
      <w:r w:rsidRPr="00A5611D">
        <w:rPr>
          <w:rFonts w:cs="Times New Roman"/>
        </w:rPr>
        <w:t xml:space="preserve"> 1 </w:t>
      </w:r>
    </w:p>
    <w:p w14:paraId="42EDD625" w14:textId="77777777" w:rsidR="00D361E3" w:rsidRDefault="00D361E3" w:rsidP="00362C2A">
      <w:pPr>
        <w:spacing w:line="360" w:lineRule="auto"/>
        <w:rPr>
          <w:rFonts w:cs="Times New Roman"/>
        </w:rPr>
      </w:pPr>
    </w:p>
    <w:p w14:paraId="393D1891" w14:textId="77777777" w:rsidR="00D361E3" w:rsidRPr="00A004EB" w:rsidRDefault="00D361E3" w:rsidP="00362C2A">
      <w:pPr>
        <w:spacing w:line="360" w:lineRule="auto"/>
        <w:rPr>
          <w:rFonts w:cs="Times New Roman"/>
        </w:rPr>
      </w:pPr>
      <w:r w:rsidRPr="00292D2B">
        <w:rPr>
          <w:b/>
        </w:rPr>
        <w:t xml:space="preserve">Node </w:t>
      </w:r>
      <w:r>
        <w:rPr>
          <w:b/>
        </w:rPr>
        <w:t>2</w:t>
      </w:r>
      <w:r w:rsidRPr="00292D2B">
        <w:rPr>
          <w:b/>
        </w:rPr>
        <w:t>: Jeholosauridae</w:t>
      </w:r>
    </w:p>
    <w:p w14:paraId="77E44552" w14:textId="77777777" w:rsidR="00D361E3" w:rsidRDefault="00D361E3" w:rsidP="00362C2A">
      <w:pPr>
        <w:spacing w:line="360" w:lineRule="auto"/>
        <w:ind w:firstLine="284"/>
      </w:pPr>
      <w:r>
        <w:t xml:space="preserve">Character 48: 1 → 0 </w:t>
      </w:r>
    </w:p>
    <w:p w14:paraId="0B44420B" w14:textId="77777777" w:rsidR="00D361E3" w:rsidRDefault="00D361E3" w:rsidP="00362C2A">
      <w:pPr>
        <w:spacing w:line="360" w:lineRule="auto"/>
        <w:ind w:firstLine="284"/>
      </w:pPr>
      <w:r>
        <w:t xml:space="preserve">Character 59: 0 → 1 </w:t>
      </w:r>
    </w:p>
    <w:p w14:paraId="54A65F29" w14:textId="77777777" w:rsidR="00D361E3" w:rsidRDefault="00D361E3" w:rsidP="00362C2A">
      <w:pPr>
        <w:spacing w:line="360" w:lineRule="auto"/>
        <w:ind w:firstLine="284"/>
      </w:pPr>
      <w:r>
        <w:t xml:space="preserve">Character 117: 1 → 2 </w:t>
      </w:r>
    </w:p>
    <w:p w14:paraId="0D9D8675" w14:textId="77777777" w:rsidR="00D361E3" w:rsidRDefault="00D361E3" w:rsidP="00362C2A">
      <w:pPr>
        <w:spacing w:line="360" w:lineRule="auto"/>
        <w:ind w:firstLine="284"/>
      </w:pPr>
      <w:r>
        <w:t xml:space="preserve">Character 192: 1 → 0 </w:t>
      </w:r>
    </w:p>
    <w:p w14:paraId="6F3BF2D2" w14:textId="77777777" w:rsidR="00D361E3" w:rsidRDefault="00D361E3" w:rsidP="00362C2A">
      <w:pPr>
        <w:spacing w:line="360" w:lineRule="auto"/>
        <w:ind w:firstLine="284"/>
      </w:pPr>
      <w:r>
        <w:t xml:space="preserve">Character 201: 0 → 1 </w:t>
      </w:r>
    </w:p>
    <w:p w14:paraId="69DF4498" w14:textId="77777777" w:rsidR="00D361E3" w:rsidRDefault="00D361E3" w:rsidP="00362C2A">
      <w:pPr>
        <w:spacing w:line="360" w:lineRule="auto"/>
      </w:pPr>
    </w:p>
    <w:p w14:paraId="3557610C" w14:textId="77777777" w:rsidR="00D361E3" w:rsidRPr="00292D2B" w:rsidRDefault="00D361E3" w:rsidP="00362C2A">
      <w:pPr>
        <w:spacing w:line="360" w:lineRule="auto"/>
        <w:rPr>
          <w:b/>
        </w:rPr>
      </w:pPr>
      <w:r w:rsidRPr="00292D2B">
        <w:rPr>
          <w:b/>
        </w:rPr>
        <w:t xml:space="preserve">Node </w:t>
      </w:r>
      <w:r>
        <w:rPr>
          <w:b/>
        </w:rPr>
        <w:t>3</w:t>
      </w:r>
      <w:r w:rsidRPr="00292D2B">
        <w:rPr>
          <w:b/>
        </w:rPr>
        <w:t>: Thescelosauridae</w:t>
      </w:r>
    </w:p>
    <w:p w14:paraId="7432DD6D" w14:textId="77777777" w:rsidR="00D361E3" w:rsidRDefault="00D361E3" w:rsidP="00362C2A">
      <w:pPr>
        <w:spacing w:line="360" w:lineRule="auto"/>
        <w:ind w:firstLine="284"/>
      </w:pPr>
      <w:r>
        <w:t xml:space="preserve">Character 29: 0 → 1 </w:t>
      </w:r>
    </w:p>
    <w:p w14:paraId="5E659728" w14:textId="77777777" w:rsidR="00D361E3" w:rsidRPr="00A6130A" w:rsidRDefault="00D361E3" w:rsidP="00362C2A">
      <w:pPr>
        <w:spacing w:line="360" w:lineRule="auto"/>
        <w:ind w:firstLine="284"/>
      </w:pPr>
      <w:r>
        <w:t>Character 80</w:t>
      </w:r>
      <w:r w:rsidRPr="00A6130A">
        <w:t xml:space="preserve">: 0 </w:t>
      </w:r>
      <w:r>
        <w:t>→</w:t>
      </w:r>
      <w:r w:rsidRPr="00A6130A">
        <w:t xml:space="preserve"> 1 </w:t>
      </w:r>
    </w:p>
    <w:p w14:paraId="7A64BD68" w14:textId="77777777" w:rsidR="00D361E3" w:rsidRPr="00A6130A" w:rsidRDefault="00D361E3" w:rsidP="00362C2A">
      <w:pPr>
        <w:spacing w:line="360" w:lineRule="auto"/>
        <w:ind w:firstLine="284"/>
      </w:pPr>
      <w:r>
        <w:t>Character 118</w:t>
      </w:r>
      <w:r w:rsidRPr="00A6130A">
        <w:t xml:space="preserve">: 0 </w:t>
      </w:r>
      <w:r>
        <w:t>→</w:t>
      </w:r>
      <w:r w:rsidRPr="00A6130A">
        <w:t xml:space="preserve"> 1 </w:t>
      </w:r>
    </w:p>
    <w:p w14:paraId="05C343DC" w14:textId="77777777" w:rsidR="00D361E3" w:rsidRPr="00A6130A" w:rsidRDefault="00D361E3" w:rsidP="00362C2A">
      <w:pPr>
        <w:spacing w:line="360" w:lineRule="auto"/>
        <w:ind w:firstLine="284"/>
      </w:pPr>
      <w:r>
        <w:t>Character 170</w:t>
      </w:r>
      <w:r w:rsidRPr="00A6130A">
        <w:t xml:space="preserve">: 2 </w:t>
      </w:r>
      <w:r>
        <w:t>→</w:t>
      </w:r>
      <w:r w:rsidRPr="00A6130A">
        <w:t xml:space="preserve"> 3 </w:t>
      </w:r>
    </w:p>
    <w:p w14:paraId="2F0EF2D0" w14:textId="77777777" w:rsidR="00D361E3" w:rsidRDefault="00D361E3" w:rsidP="00362C2A">
      <w:pPr>
        <w:spacing w:line="360" w:lineRule="auto"/>
      </w:pPr>
    </w:p>
    <w:p w14:paraId="6B85EFA0" w14:textId="77777777" w:rsidR="00D361E3" w:rsidRPr="00292D2B" w:rsidRDefault="00D361E3" w:rsidP="00362C2A">
      <w:pPr>
        <w:spacing w:line="360" w:lineRule="auto"/>
        <w:rPr>
          <w:b/>
        </w:rPr>
      </w:pPr>
      <w:r w:rsidRPr="00292D2B">
        <w:rPr>
          <w:b/>
        </w:rPr>
        <w:t xml:space="preserve">Node </w:t>
      </w:r>
      <w:r>
        <w:rPr>
          <w:b/>
        </w:rPr>
        <w:t>4</w:t>
      </w:r>
      <w:r w:rsidRPr="00292D2B">
        <w:rPr>
          <w:b/>
        </w:rPr>
        <w:t xml:space="preserve">: </w:t>
      </w:r>
      <w:r w:rsidRPr="00292D2B">
        <w:rPr>
          <w:b/>
          <w:i/>
        </w:rPr>
        <w:t>Nanosaurus</w:t>
      </w:r>
      <w:r w:rsidRPr="00292D2B">
        <w:rPr>
          <w:b/>
        </w:rPr>
        <w:t xml:space="preserve"> + Jeholosauridae + Thescelosauridae</w:t>
      </w:r>
    </w:p>
    <w:p w14:paraId="0C46B3B5" w14:textId="77777777" w:rsidR="00D361E3" w:rsidRDefault="00D361E3" w:rsidP="00362C2A">
      <w:pPr>
        <w:spacing w:line="360" w:lineRule="auto"/>
        <w:ind w:firstLine="284"/>
      </w:pPr>
      <w:r>
        <w:t xml:space="preserve">Character 110: 0 → 1 </w:t>
      </w:r>
    </w:p>
    <w:p w14:paraId="0F68CD7F" w14:textId="77777777" w:rsidR="00D361E3" w:rsidRDefault="00D361E3" w:rsidP="00362C2A">
      <w:pPr>
        <w:spacing w:line="360" w:lineRule="auto"/>
        <w:ind w:firstLine="284"/>
      </w:pPr>
      <w:r>
        <w:t xml:space="preserve">Character 181: 0 → 1 </w:t>
      </w:r>
    </w:p>
    <w:p w14:paraId="42A03117" w14:textId="77777777" w:rsidR="00D361E3" w:rsidRDefault="00D361E3" w:rsidP="00362C2A">
      <w:pPr>
        <w:spacing w:line="360" w:lineRule="auto"/>
      </w:pPr>
    </w:p>
    <w:p w14:paraId="168822CA" w14:textId="77777777" w:rsidR="00D361E3" w:rsidRPr="00A37311" w:rsidRDefault="00D361E3" w:rsidP="00362C2A">
      <w:pPr>
        <w:spacing w:line="360" w:lineRule="auto"/>
        <w:rPr>
          <w:b/>
        </w:rPr>
      </w:pPr>
      <w:r w:rsidRPr="00292D2B">
        <w:rPr>
          <w:b/>
        </w:rPr>
        <w:t xml:space="preserve">Node </w:t>
      </w:r>
      <w:r>
        <w:rPr>
          <w:b/>
        </w:rPr>
        <w:t>5</w:t>
      </w:r>
      <w:r w:rsidRPr="00292D2B">
        <w:rPr>
          <w:b/>
        </w:rPr>
        <w:t xml:space="preserve">: </w:t>
      </w:r>
      <w:r>
        <w:rPr>
          <w:b/>
        </w:rPr>
        <w:t>Cerapoda + Node 4</w:t>
      </w:r>
    </w:p>
    <w:p w14:paraId="7FAB5447" w14:textId="77777777" w:rsidR="00D361E3" w:rsidRDefault="00D361E3" w:rsidP="00362C2A">
      <w:pPr>
        <w:spacing w:line="360" w:lineRule="auto"/>
        <w:ind w:firstLine="284"/>
      </w:pPr>
      <w:r>
        <w:t xml:space="preserve">Character 115: 0 → 1 </w:t>
      </w:r>
    </w:p>
    <w:p w14:paraId="6ACD3122" w14:textId="77777777" w:rsidR="00D361E3" w:rsidRDefault="00D361E3" w:rsidP="00362C2A">
      <w:pPr>
        <w:spacing w:line="360" w:lineRule="auto"/>
        <w:ind w:firstLine="284"/>
      </w:pPr>
      <w:r>
        <w:t xml:space="preserve">Character 126: 3 → 2 </w:t>
      </w:r>
    </w:p>
    <w:p w14:paraId="5CE2E39B" w14:textId="77777777" w:rsidR="00D361E3" w:rsidRDefault="00D361E3" w:rsidP="00362C2A">
      <w:pPr>
        <w:spacing w:line="360" w:lineRule="auto"/>
        <w:ind w:firstLine="284"/>
      </w:pPr>
      <w:r>
        <w:t xml:space="preserve">Character 170: 1 → 2 </w:t>
      </w:r>
    </w:p>
    <w:p w14:paraId="07428DB3" w14:textId="77777777" w:rsidR="00D361E3" w:rsidRDefault="00D361E3" w:rsidP="00362C2A">
      <w:pPr>
        <w:spacing w:line="360" w:lineRule="auto"/>
        <w:ind w:firstLine="284"/>
      </w:pPr>
      <w:r>
        <w:t xml:space="preserve">Character 226: 0 → 1 </w:t>
      </w:r>
    </w:p>
    <w:p w14:paraId="1F42BE15" w14:textId="77777777" w:rsidR="00D361E3" w:rsidRDefault="00D361E3" w:rsidP="00362C2A">
      <w:pPr>
        <w:spacing w:line="360" w:lineRule="auto"/>
        <w:ind w:firstLine="284"/>
      </w:pPr>
      <w:r>
        <w:t xml:space="preserve">Character 228: 0 → 1 </w:t>
      </w:r>
    </w:p>
    <w:p w14:paraId="5E82EBFE" w14:textId="77777777" w:rsidR="00D361E3" w:rsidRDefault="00D361E3" w:rsidP="00362C2A">
      <w:pPr>
        <w:spacing w:line="360" w:lineRule="auto"/>
        <w:ind w:firstLine="284"/>
      </w:pPr>
      <w:r>
        <w:t xml:space="preserve">Character 249: 0 → 1 </w:t>
      </w:r>
    </w:p>
    <w:p w14:paraId="5FA44A3C" w14:textId="77777777" w:rsidR="00D361E3" w:rsidRDefault="00D361E3" w:rsidP="00362C2A">
      <w:pPr>
        <w:spacing w:line="360" w:lineRule="auto"/>
        <w:rPr>
          <w:b/>
        </w:rPr>
      </w:pPr>
      <w:r w:rsidRPr="00A6130A">
        <w:rPr>
          <w:b/>
        </w:rPr>
        <w:t xml:space="preserve">   </w:t>
      </w:r>
    </w:p>
    <w:p w14:paraId="3CC0CD45" w14:textId="77777777" w:rsidR="00D361E3" w:rsidRPr="00A6130A" w:rsidRDefault="00D361E3" w:rsidP="00362C2A">
      <w:pPr>
        <w:spacing w:line="360" w:lineRule="auto"/>
        <w:rPr>
          <w:b/>
        </w:rPr>
      </w:pPr>
      <w:r w:rsidRPr="00A6130A">
        <w:rPr>
          <w:b/>
        </w:rPr>
        <w:t xml:space="preserve">Node </w:t>
      </w:r>
      <w:r>
        <w:rPr>
          <w:b/>
        </w:rPr>
        <w:t>6</w:t>
      </w:r>
      <w:r w:rsidRPr="00A6130A">
        <w:rPr>
          <w:b/>
        </w:rPr>
        <w:t>: Cerapoda</w:t>
      </w:r>
    </w:p>
    <w:p w14:paraId="4B8F9201" w14:textId="77777777" w:rsidR="00D361E3" w:rsidRPr="00A6130A" w:rsidRDefault="00D361E3" w:rsidP="00362C2A">
      <w:pPr>
        <w:spacing w:line="360" w:lineRule="auto"/>
        <w:ind w:firstLine="284"/>
      </w:pPr>
      <w:r>
        <w:t xml:space="preserve">Character </w:t>
      </w:r>
      <w:r w:rsidRPr="00A6130A">
        <w:t xml:space="preserve">38: 1 </w:t>
      </w:r>
      <w:r>
        <w:t>→</w:t>
      </w:r>
      <w:r w:rsidRPr="00A6130A">
        <w:t xml:space="preserve"> 0 </w:t>
      </w:r>
    </w:p>
    <w:p w14:paraId="5DE10435" w14:textId="77777777" w:rsidR="00D361E3" w:rsidRPr="00A6130A" w:rsidRDefault="00D361E3" w:rsidP="00362C2A">
      <w:pPr>
        <w:spacing w:line="360" w:lineRule="auto"/>
        <w:ind w:firstLine="284"/>
      </w:pPr>
      <w:r>
        <w:t>Character 73</w:t>
      </w:r>
      <w:r w:rsidRPr="00A6130A">
        <w:t xml:space="preserve">: 1 </w:t>
      </w:r>
      <w:r>
        <w:t>→</w:t>
      </w:r>
      <w:r w:rsidRPr="00A6130A">
        <w:t xml:space="preserve"> 0 </w:t>
      </w:r>
    </w:p>
    <w:p w14:paraId="1C6B48E9" w14:textId="77777777" w:rsidR="00D361E3" w:rsidRPr="00A6130A" w:rsidRDefault="00D361E3" w:rsidP="00362C2A">
      <w:pPr>
        <w:spacing w:line="360" w:lineRule="auto"/>
        <w:ind w:firstLine="284"/>
      </w:pPr>
      <w:r>
        <w:t>Character 146</w:t>
      </w:r>
      <w:r w:rsidRPr="00A6130A">
        <w:t xml:space="preserve">: 0 </w:t>
      </w:r>
      <w:r>
        <w:t>→</w:t>
      </w:r>
      <w:r w:rsidRPr="00A6130A">
        <w:t xml:space="preserve"> 1 </w:t>
      </w:r>
    </w:p>
    <w:p w14:paraId="5AD8DC73" w14:textId="77777777" w:rsidR="00D361E3" w:rsidRPr="00A6130A" w:rsidRDefault="00D361E3" w:rsidP="00362C2A">
      <w:pPr>
        <w:spacing w:line="360" w:lineRule="auto"/>
        <w:ind w:firstLine="284"/>
      </w:pPr>
      <w:r>
        <w:t>Character 162</w:t>
      </w:r>
      <w:r w:rsidRPr="00A6130A">
        <w:t xml:space="preserve">: 0 </w:t>
      </w:r>
      <w:r>
        <w:t>→</w:t>
      </w:r>
      <w:r w:rsidRPr="00A6130A">
        <w:t xml:space="preserve"> 1 </w:t>
      </w:r>
    </w:p>
    <w:p w14:paraId="4C8DFE65" w14:textId="77777777" w:rsidR="00D361E3" w:rsidRPr="00A6130A" w:rsidRDefault="00D361E3" w:rsidP="00362C2A">
      <w:pPr>
        <w:spacing w:line="360" w:lineRule="auto"/>
        <w:ind w:firstLine="284"/>
      </w:pPr>
      <w:r>
        <w:t>Character 185:</w:t>
      </w:r>
      <w:r w:rsidRPr="00A6130A">
        <w:t xml:space="preserve"> 0 </w:t>
      </w:r>
      <w:r>
        <w:t>→</w:t>
      </w:r>
      <w:r w:rsidRPr="00A6130A">
        <w:t xml:space="preserve"> 1 </w:t>
      </w:r>
    </w:p>
    <w:p w14:paraId="7E6541A1" w14:textId="77777777" w:rsidR="00D361E3" w:rsidRDefault="00D361E3" w:rsidP="00362C2A">
      <w:pPr>
        <w:spacing w:line="360" w:lineRule="auto"/>
        <w:ind w:firstLine="284"/>
      </w:pPr>
      <w:r>
        <w:t>Character 241</w:t>
      </w:r>
      <w:r w:rsidRPr="00A6130A">
        <w:t xml:space="preserve">: 0 </w:t>
      </w:r>
      <w:r>
        <w:t>→</w:t>
      </w:r>
      <w:r w:rsidRPr="00A6130A">
        <w:t xml:space="preserve"> 1</w:t>
      </w:r>
    </w:p>
    <w:p w14:paraId="0D93AEA2" w14:textId="77777777" w:rsidR="00D361E3" w:rsidRDefault="00D361E3" w:rsidP="00362C2A">
      <w:pPr>
        <w:spacing w:line="360" w:lineRule="auto"/>
        <w:rPr>
          <w:b/>
        </w:rPr>
      </w:pPr>
      <w:r w:rsidRPr="00F456D9">
        <w:rPr>
          <w:b/>
        </w:rPr>
        <w:t xml:space="preserve">   </w:t>
      </w:r>
    </w:p>
    <w:p w14:paraId="759F3B1D" w14:textId="77777777" w:rsidR="00D361E3" w:rsidRPr="00F456D9" w:rsidRDefault="00D361E3" w:rsidP="00362C2A">
      <w:pPr>
        <w:spacing w:line="360" w:lineRule="auto"/>
        <w:rPr>
          <w:b/>
        </w:rPr>
      </w:pPr>
      <w:r w:rsidRPr="00F456D9">
        <w:rPr>
          <w:b/>
        </w:rPr>
        <w:t xml:space="preserve">Node </w:t>
      </w:r>
      <w:r>
        <w:rPr>
          <w:b/>
        </w:rPr>
        <w:t>7: M</w:t>
      </w:r>
      <w:r w:rsidRPr="00F456D9">
        <w:rPr>
          <w:b/>
        </w:rPr>
        <w:t>arginocephalia</w:t>
      </w:r>
    </w:p>
    <w:p w14:paraId="78ABC590" w14:textId="77777777" w:rsidR="00D361E3" w:rsidRDefault="00D361E3" w:rsidP="00362C2A">
      <w:pPr>
        <w:spacing w:line="360" w:lineRule="auto"/>
        <w:ind w:left="567" w:hanging="283"/>
      </w:pPr>
      <w:r>
        <w:t xml:space="preserve">Character 2: 0 → 1 </w:t>
      </w:r>
    </w:p>
    <w:p w14:paraId="70C7133B" w14:textId="77777777" w:rsidR="00D361E3" w:rsidRDefault="00D361E3" w:rsidP="00362C2A">
      <w:pPr>
        <w:spacing w:line="360" w:lineRule="auto"/>
        <w:ind w:left="567" w:hanging="283"/>
      </w:pPr>
      <w:r>
        <w:t xml:space="preserve">Character 17: 1 → 0 </w:t>
      </w:r>
    </w:p>
    <w:p w14:paraId="2039AA42" w14:textId="77777777" w:rsidR="00D361E3" w:rsidRDefault="00D361E3" w:rsidP="00362C2A">
      <w:pPr>
        <w:spacing w:line="360" w:lineRule="auto"/>
        <w:ind w:left="567" w:hanging="283"/>
      </w:pPr>
      <w:r>
        <w:t xml:space="preserve">Character 20: 0 → 1 </w:t>
      </w:r>
    </w:p>
    <w:p w14:paraId="5F456823" w14:textId="77777777" w:rsidR="00D361E3" w:rsidRDefault="00D361E3" w:rsidP="00362C2A">
      <w:pPr>
        <w:spacing w:line="360" w:lineRule="auto"/>
        <w:ind w:left="567" w:hanging="283"/>
      </w:pPr>
      <w:r>
        <w:t xml:space="preserve">Character 22: 0 → 1 </w:t>
      </w:r>
    </w:p>
    <w:p w14:paraId="04B8EF78" w14:textId="77777777" w:rsidR="00D361E3" w:rsidRDefault="00D361E3" w:rsidP="00362C2A">
      <w:pPr>
        <w:spacing w:line="360" w:lineRule="auto"/>
        <w:ind w:left="567" w:hanging="283"/>
      </w:pPr>
      <w:r>
        <w:t xml:space="preserve">Character 54: 0 → 1 </w:t>
      </w:r>
    </w:p>
    <w:p w14:paraId="45C77F86" w14:textId="77777777" w:rsidR="00D361E3" w:rsidRDefault="00D361E3" w:rsidP="00362C2A">
      <w:pPr>
        <w:spacing w:line="360" w:lineRule="auto"/>
        <w:ind w:left="567" w:hanging="283"/>
      </w:pPr>
      <w:r>
        <w:t xml:space="preserve">Character 61: 0 → 1 </w:t>
      </w:r>
    </w:p>
    <w:p w14:paraId="1174029C" w14:textId="77777777" w:rsidR="00D361E3" w:rsidRDefault="00D361E3" w:rsidP="00362C2A">
      <w:pPr>
        <w:spacing w:line="360" w:lineRule="auto"/>
        <w:ind w:left="567" w:hanging="283"/>
      </w:pPr>
      <w:r>
        <w:t xml:space="preserve">Character 75: 0 → 1 </w:t>
      </w:r>
    </w:p>
    <w:p w14:paraId="2A94E6BA" w14:textId="77777777" w:rsidR="00D361E3" w:rsidRDefault="00D361E3" w:rsidP="00362C2A">
      <w:pPr>
        <w:spacing w:line="360" w:lineRule="auto"/>
        <w:ind w:left="567" w:hanging="283"/>
      </w:pPr>
      <w:r>
        <w:t xml:space="preserve">Character 80: 0 → 1 </w:t>
      </w:r>
    </w:p>
    <w:p w14:paraId="2D642F0F" w14:textId="77777777" w:rsidR="00D361E3" w:rsidRDefault="00D361E3" w:rsidP="00362C2A">
      <w:pPr>
        <w:spacing w:line="360" w:lineRule="auto"/>
        <w:ind w:left="567" w:hanging="283"/>
      </w:pPr>
      <w:r>
        <w:t xml:space="preserve">Character 104: 0 → 1 </w:t>
      </w:r>
    </w:p>
    <w:p w14:paraId="776E22D8" w14:textId="77777777" w:rsidR="00D361E3" w:rsidRDefault="00D361E3" w:rsidP="00362C2A">
      <w:pPr>
        <w:spacing w:line="360" w:lineRule="auto"/>
        <w:ind w:left="567" w:hanging="283"/>
      </w:pPr>
      <w:r>
        <w:t xml:space="preserve">Character 105: 0 → 1 </w:t>
      </w:r>
    </w:p>
    <w:p w14:paraId="573BB4D9" w14:textId="77777777" w:rsidR="00D361E3" w:rsidRDefault="00D361E3" w:rsidP="00362C2A">
      <w:pPr>
        <w:spacing w:line="360" w:lineRule="auto"/>
        <w:ind w:left="567" w:hanging="283"/>
      </w:pPr>
      <w:r>
        <w:t xml:space="preserve">Character 117: 1 → 0 </w:t>
      </w:r>
    </w:p>
    <w:p w14:paraId="2895D6C1" w14:textId="77777777" w:rsidR="00D361E3" w:rsidRDefault="00D361E3" w:rsidP="00362C2A">
      <w:pPr>
        <w:spacing w:line="360" w:lineRule="auto"/>
        <w:ind w:left="567" w:hanging="283"/>
      </w:pPr>
      <w:r>
        <w:t xml:space="preserve">Character 134: 0 → 1 </w:t>
      </w:r>
    </w:p>
    <w:p w14:paraId="175C6F80" w14:textId="77777777" w:rsidR="00D361E3" w:rsidRDefault="00D361E3" w:rsidP="00362C2A">
      <w:pPr>
        <w:spacing w:line="360" w:lineRule="auto"/>
        <w:ind w:left="567" w:hanging="283"/>
      </w:pPr>
      <w:r>
        <w:t>Character 235: 1 → 0</w:t>
      </w:r>
    </w:p>
    <w:p w14:paraId="502E3C9E" w14:textId="77777777" w:rsidR="00D361E3" w:rsidRDefault="00D361E3" w:rsidP="00362C2A">
      <w:pPr>
        <w:spacing w:line="360" w:lineRule="auto"/>
        <w:ind w:left="567" w:hanging="283"/>
      </w:pPr>
      <w:r>
        <w:t>Character 240: 0 → 1</w:t>
      </w:r>
    </w:p>
    <w:p w14:paraId="18D85F4E" w14:textId="77777777" w:rsidR="00D361E3" w:rsidRDefault="00D361E3" w:rsidP="00362C2A">
      <w:pPr>
        <w:spacing w:line="360" w:lineRule="auto"/>
        <w:ind w:left="567" w:hanging="283"/>
      </w:pPr>
      <w:r>
        <w:t>Character 243: 2 → 0</w:t>
      </w:r>
    </w:p>
    <w:p w14:paraId="3FCCE803" w14:textId="77777777" w:rsidR="00D361E3" w:rsidRPr="00A6130A" w:rsidRDefault="00D361E3" w:rsidP="00362C2A">
      <w:pPr>
        <w:spacing w:line="360" w:lineRule="auto"/>
        <w:ind w:left="567" w:hanging="283"/>
      </w:pPr>
      <w:r>
        <w:t>Character 269: 0 → 2</w:t>
      </w:r>
    </w:p>
    <w:p w14:paraId="32ED892B" w14:textId="77777777" w:rsidR="00D361E3" w:rsidRDefault="00D361E3" w:rsidP="00362C2A">
      <w:pPr>
        <w:spacing w:line="360" w:lineRule="auto"/>
        <w:rPr>
          <w:b/>
        </w:rPr>
      </w:pPr>
    </w:p>
    <w:p w14:paraId="5DB3F46F" w14:textId="77777777" w:rsidR="00D361E3" w:rsidRPr="00F456D9" w:rsidRDefault="00D361E3" w:rsidP="00362C2A">
      <w:pPr>
        <w:spacing w:line="360" w:lineRule="auto"/>
        <w:rPr>
          <w:b/>
        </w:rPr>
      </w:pPr>
      <w:r w:rsidRPr="00F456D9">
        <w:rPr>
          <w:b/>
        </w:rPr>
        <w:t xml:space="preserve">Node </w:t>
      </w:r>
      <w:r>
        <w:rPr>
          <w:b/>
        </w:rPr>
        <w:t>8</w:t>
      </w:r>
      <w:r w:rsidRPr="00F456D9">
        <w:rPr>
          <w:b/>
        </w:rPr>
        <w:t>: Pachycephalosauria</w:t>
      </w:r>
    </w:p>
    <w:p w14:paraId="5BB540E8" w14:textId="77777777" w:rsidR="00D361E3" w:rsidRDefault="00D361E3" w:rsidP="00362C2A">
      <w:pPr>
        <w:spacing w:line="360" w:lineRule="auto"/>
        <w:ind w:left="567" w:hanging="283"/>
      </w:pPr>
      <w:r>
        <w:t xml:space="preserve">Character 3: 0 → 1 </w:t>
      </w:r>
    </w:p>
    <w:p w14:paraId="5387E46A" w14:textId="77777777" w:rsidR="00D361E3" w:rsidRDefault="00D361E3" w:rsidP="00362C2A">
      <w:pPr>
        <w:spacing w:line="360" w:lineRule="auto"/>
        <w:ind w:left="567" w:hanging="283"/>
      </w:pPr>
      <w:r>
        <w:t xml:space="preserve">Character 5: 0 → 1 </w:t>
      </w:r>
    </w:p>
    <w:p w14:paraId="1F529213" w14:textId="77777777" w:rsidR="00D361E3" w:rsidRDefault="00D361E3" w:rsidP="00362C2A">
      <w:pPr>
        <w:spacing w:line="360" w:lineRule="auto"/>
        <w:ind w:left="567" w:hanging="283"/>
      </w:pPr>
      <w:r>
        <w:t xml:space="preserve">Character 27: 0 → 1 </w:t>
      </w:r>
    </w:p>
    <w:p w14:paraId="3DBA9508" w14:textId="77777777" w:rsidR="00D361E3" w:rsidRDefault="00D361E3" w:rsidP="00362C2A">
      <w:pPr>
        <w:spacing w:line="360" w:lineRule="auto"/>
        <w:ind w:left="567" w:hanging="283"/>
      </w:pPr>
      <w:r>
        <w:t xml:space="preserve">Character 45: 0 → 1 </w:t>
      </w:r>
    </w:p>
    <w:p w14:paraId="39F41B3D" w14:textId="77777777" w:rsidR="00D361E3" w:rsidRDefault="00D361E3" w:rsidP="00362C2A">
      <w:pPr>
        <w:spacing w:line="360" w:lineRule="auto"/>
        <w:ind w:left="567" w:hanging="283"/>
      </w:pPr>
      <w:r>
        <w:t xml:space="preserve">Character 47: 0 → 1 </w:t>
      </w:r>
    </w:p>
    <w:p w14:paraId="64C5CA00" w14:textId="77777777" w:rsidR="00D361E3" w:rsidRDefault="00D361E3" w:rsidP="00362C2A">
      <w:pPr>
        <w:spacing w:line="360" w:lineRule="auto"/>
        <w:ind w:left="567" w:hanging="283"/>
      </w:pPr>
      <w:r>
        <w:t xml:space="preserve">Character 51: 0 → 1 </w:t>
      </w:r>
    </w:p>
    <w:p w14:paraId="12E34FD9" w14:textId="77777777" w:rsidR="00D361E3" w:rsidRDefault="00D361E3" w:rsidP="00362C2A">
      <w:pPr>
        <w:spacing w:line="360" w:lineRule="auto"/>
        <w:ind w:left="567" w:hanging="283"/>
      </w:pPr>
      <w:r>
        <w:t xml:space="preserve">Character 56: 0 → 1 </w:t>
      </w:r>
    </w:p>
    <w:p w14:paraId="357AF640" w14:textId="77777777" w:rsidR="00D361E3" w:rsidRDefault="00D361E3" w:rsidP="00362C2A">
      <w:pPr>
        <w:spacing w:line="360" w:lineRule="auto"/>
        <w:ind w:left="567" w:hanging="283"/>
      </w:pPr>
      <w:r>
        <w:t xml:space="preserve">Character 100: 0 → 1 </w:t>
      </w:r>
    </w:p>
    <w:p w14:paraId="4945B47D" w14:textId="77777777" w:rsidR="00D361E3" w:rsidRDefault="00D361E3" w:rsidP="00362C2A">
      <w:pPr>
        <w:spacing w:line="360" w:lineRule="auto"/>
        <w:ind w:left="567" w:hanging="283"/>
      </w:pPr>
      <w:r>
        <w:t xml:space="preserve">Character 124: 1 → 0 </w:t>
      </w:r>
    </w:p>
    <w:p w14:paraId="122A04F1" w14:textId="77777777" w:rsidR="00D361E3" w:rsidRDefault="00D361E3" w:rsidP="00362C2A">
      <w:pPr>
        <w:spacing w:line="360" w:lineRule="auto"/>
        <w:ind w:left="567" w:hanging="283"/>
      </w:pPr>
      <w:r>
        <w:t xml:space="preserve">Character 130: 0 → 1 </w:t>
      </w:r>
    </w:p>
    <w:p w14:paraId="710C49BF" w14:textId="77777777" w:rsidR="00D361E3" w:rsidRDefault="00D361E3" w:rsidP="00362C2A">
      <w:pPr>
        <w:spacing w:line="360" w:lineRule="auto"/>
        <w:ind w:left="567" w:hanging="283"/>
      </w:pPr>
      <w:r>
        <w:t xml:space="preserve">Character 154: 1 → 0 </w:t>
      </w:r>
    </w:p>
    <w:p w14:paraId="7F760710" w14:textId="77777777" w:rsidR="00D361E3" w:rsidRDefault="00D361E3" w:rsidP="00362C2A">
      <w:pPr>
        <w:spacing w:line="360" w:lineRule="auto"/>
        <w:ind w:left="567" w:hanging="283"/>
      </w:pPr>
      <w:r>
        <w:t xml:space="preserve">Character 184: 0 → 1 </w:t>
      </w:r>
    </w:p>
    <w:p w14:paraId="6DF9F98E" w14:textId="77777777" w:rsidR="00D361E3" w:rsidRDefault="00D361E3" w:rsidP="00362C2A">
      <w:pPr>
        <w:spacing w:line="360" w:lineRule="auto"/>
        <w:ind w:left="567" w:hanging="283"/>
      </w:pPr>
      <w:r>
        <w:t xml:space="preserve">Character 196: 0 → 1 </w:t>
      </w:r>
    </w:p>
    <w:p w14:paraId="29E7A975" w14:textId="77777777" w:rsidR="00D361E3" w:rsidRDefault="00D361E3" w:rsidP="00362C2A">
      <w:pPr>
        <w:spacing w:line="360" w:lineRule="auto"/>
        <w:ind w:left="567" w:hanging="283"/>
      </w:pPr>
      <w:r>
        <w:t xml:space="preserve">Character 200: 0 → 1 </w:t>
      </w:r>
    </w:p>
    <w:p w14:paraId="375CC47F" w14:textId="77777777" w:rsidR="00D361E3" w:rsidRDefault="00D361E3" w:rsidP="00362C2A">
      <w:pPr>
        <w:spacing w:line="360" w:lineRule="auto"/>
        <w:ind w:left="567" w:hanging="283"/>
      </w:pPr>
      <w:r>
        <w:t>Character 202: 0 → 1</w:t>
      </w:r>
    </w:p>
    <w:p w14:paraId="7CEB118D" w14:textId="77777777" w:rsidR="00D361E3" w:rsidRDefault="00D361E3" w:rsidP="00362C2A">
      <w:pPr>
        <w:spacing w:line="360" w:lineRule="auto"/>
        <w:ind w:left="567" w:hanging="283"/>
      </w:pPr>
      <w:r>
        <w:t xml:space="preserve">Character 219: 0 → 1 </w:t>
      </w:r>
    </w:p>
    <w:p w14:paraId="610D511F" w14:textId="77777777" w:rsidR="00D361E3" w:rsidRDefault="00D361E3" w:rsidP="00362C2A">
      <w:pPr>
        <w:spacing w:line="360" w:lineRule="auto"/>
        <w:ind w:left="567" w:hanging="283"/>
      </w:pPr>
      <w:r>
        <w:t xml:space="preserve">Character 224: 1 → 2 </w:t>
      </w:r>
    </w:p>
    <w:p w14:paraId="56EDF8B0" w14:textId="77777777" w:rsidR="00D361E3" w:rsidRDefault="00D361E3" w:rsidP="00362C2A">
      <w:pPr>
        <w:spacing w:line="360" w:lineRule="auto"/>
        <w:ind w:left="567" w:hanging="283"/>
      </w:pPr>
      <w:r>
        <w:t xml:space="preserve">Character 293: 0 → 1 </w:t>
      </w:r>
    </w:p>
    <w:p w14:paraId="026A5D65" w14:textId="77777777" w:rsidR="00D361E3" w:rsidRDefault="00D361E3" w:rsidP="00362C2A">
      <w:pPr>
        <w:spacing w:line="360" w:lineRule="auto"/>
        <w:ind w:left="567" w:hanging="283"/>
      </w:pPr>
      <w:r>
        <w:t xml:space="preserve">Character 298: 0 → 1 </w:t>
      </w:r>
    </w:p>
    <w:p w14:paraId="458D9CEB" w14:textId="77777777" w:rsidR="00D361E3" w:rsidRDefault="00D361E3" w:rsidP="00362C2A">
      <w:pPr>
        <w:spacing w:line="360" w:lineRule="auto"/>
        <w:ind w:left="567" w:hanging="283"/>
      </w:pPr>
      <w:r>
        <w:t xml:space="preserve">Character 303: 0 → 1 </w:t>
      </w:r>
    </w:p>
    <w:p w14:paraId="64C9CA2C" w14:textId="77777777" w:rsidR="00D361E3" w:rsidRDefault="00D361E3" w:rsidP="00362C2A">
      <w:pPr>
        <w:spacing w:line="360" w:lineRule="auto"/>
        <w:ind w:left="567" w:hanging="283"/>
      </w:pPr>
      <w:r>
        <w:t xml:space="preserve">Character 330: 0 → 1 </w:t>
      </w:r>
    </w:p>
    <w:p w14:paraId="2C5DF2EC" w14:textId="77777777" w:rsidR="00D361E3" w:rsidRDefault="00D361E3" w:rsidP="00362C2A">
      <w:pPr>
        <w:spacing w:line="360" w:lineRule="auto"/>
      </w:pPr>
      <w:r>
        <w:t xml:space="preserve"> </w:t>
      </w:r>
    </w:p>
    <w:p w14:paraId="2B3D01A8" w14:textId="77777777" w:rsidR="00D361E3" w:rsidRPr="00B20F9C" w:rsidRDefault="00D361E3" w:rsidP="00362C2A">
      <w:pPr>
        <w:spacing w:line="360" w:lineRule="auto"/>
        <w:rPr>
          <w:b/>
        </w:rPr>
      </w:pPr>
      <w:r w:rsidRPr="00B20F9C">
        <w:rPr>
          <w:b/>
        </w:rPr>
        <w:t xml:space="preserve">Node </w:t>
      </w:r>
      <w:r>
        <w:rPr>
          <w:b/>
        </w:rPr>
        <w:t>10</w:t>
      </w:r>
      <w:r w:rsidRPr="00B20F9C">
        <w:rPr>
          <w:b/>
        </w:rPr>
        <w:t>: Ceratopsia</w:t>
      </w:r>
    </w:p>
    <w:p w14:paraId="5E754D2A" w14:textId="77777777" w:rsidR="00D361E3" w:rsidRDefault="00D361E3" w:rsidP="00362C2A">
      <w:pPr>
        <w:spacing w:line="360" w:lineRule="auto"/>
        <w:ind w:left="567" w:hanging="283"/>
      </w:pPr>
      <w:r>
        <w:t xml:space="preserve">Character 4: 0 → 1 </w:t>
      </w:r>
    </w:p>
    <w:p w14:paraId="551E3ADE" w14:textId="77777777" w:rsidR="00D361E3" w:rsidRDefault="00D361E3" w:rsidP="00362C2A">
      <w:pPr>
        <w:spacing w:line="360" w:lineRule="auto"/>
        <w:ind w:left="567" w:hanging="283"/>
      </w:pPr>
      <w:r>
        <w:t xml:space="preserve">Character 6: 0 → 1 </w:t>
      </w:r>
    </w:p>
    <w:p w14:paraId="03C54519" w14:textId="77777777" w:rsidR="00D361E3" w:rsidRDefault="00D361E3" w:rsidP="00362C2A">
      <w:pPr>
        <w:spacing w:line="360" w:lineRule="auto"/>
        <w:ind w:left="567" w:hanging="283"/>
      </w:pPr>
      <w:r>
        <w:t xml:space="preserve">Character 106: 1 → 0 </w:t>
      </w:r>
    </w:p>
    <w:p w14:paraId="41F87985" w14:textId="77777777" w:rsidR="00D361E3" w:rsidRDefault="00D361E3" w:rsidP="00362C2A">
      <w:pPr>
        <w:spacing w:line="360" w:lineRule="auto"/>
        <w:ind w:left="567" w:hanging="283"/>
      </w:pPr>
      <w:r>
        <w:t xml:space="preserve">Character 118: 0 → 2 </w:t>
      </w:r>
    </w:p>
    <w:p w14:paraId="745AA7F3" w14:textId="77777777" w:rsidR="00D361E3" w:rsidRDefault="00D361E3" w:rsidP="00362C2A">
      <w:pPr>
        <w:spacing w:line="360" w:lineRule="auto"/>
        <w:ind w:left="567" w:hanging="283"/>
      </w:pPr>
      <w:r>
        <w:t xml:space="preserve">Character 244: 1 → 0 </w:t>
      </w:r>
    </w:p>
    <w:p w14:paraId="54E9FDCD" w14:textId="77777777" w:rsidR="00D361E3" w:rsidRDefault="00D361E3" w:rsidP="00362C2A">
      <w:pPr>
        <w:spacing w:line="360" w:lineRule="auto"/>
        <w:ind w:left="567" w:hanging="283"/>
      </w:pPr>
      <w:r>
        <w:t xml:space="preserve">Character 245: 0 → 1 </w:t>
      </w:r>
    </w:p>
    <w:p w14:paraId="2FBA8A4C" w14:textId="77777777" w:rsidR="00D361E3" w:rsidRDefault="00D361E3" w:rsidP="00362C2A">
      <w:pPr>
        <w:spacing w:line="360" w:lineRule="auto"/>
        <w:ind w:left="567" w:hanging="283"/>
      </w:pPr>
      <w:r>
        <w:t xml:space="preserve">Character 300: 0 → 1 </w:t>
      </w:r>
    </w:p>
    <w:p w14:paraId="225863DF" w14:textId="77777777" w:rsidR="00D361E3" w:rsidRDefault="00D361E3" w:rsidP="00362C2A">
      <w:pPr>
        <w:spacing w:line="360" w:lineRule="auto"/>
        <w:ind w:left="567" w:hanging="283"/>
      </w:pPr>
      <w:r>
        <w:t>Character 306: 0 → 2</w:t>
      </w:r>
    </w:p>
    <w:p w14:paraId="33FC28D2" w14:textId="77777777" w:rsidR="00D361E3" w:rsidRDefault="00D361E3" w:rsidP="00362C2A">
      <w:pPr>
        <w:spacing w:line="360" w:lineRule="auto"/>
      </w:pPr>
    </w:p>
    <w:p w14:paraId="6BB6CCB7" w14:textId="77777777" w:rsidR="00D361E3" w:rsidRPr="00A6130A" w:rsidRDefault="00D361E3" w:rsidP="00362C2A">
      <w:pPr>
        <w:spacing w:line="360" w:lineRule="auto"/>
        <w:rPr>
          <w:b/>
        </w:rPr>
      </w:pPr>
      <w:r w:rsidRPr="00A6130A">
        <w:rPr>
          <w:b/>
        </w:rPr>
        <w:t xml:space="preserve">Node </w:t>
      </w:r>
      <w:r>
        <w:rPr>
          <w:b/>
        </w:rPr>
        <w:t>10</w:t>
      </w:r>
      <w:r w:rsidRPr="00A6130A">
        <w:rPr>
          <w:b/>
        </w:rPr>
        <w:t xml:space="preserve">: </w:t>
      </w:r>
      <w:r w:rsidRPr="00734DDF">
        <w:rPr>
          <w:b/>
          <w:i/>
        </w:rPr>
        <w:t>Parksosaurus</w:t>
      </w:r>
      <w:r>
        <w:rPr>
          <w:b/>
        </w:rPr>
        <w:t xml:space="preserve"> + MNT (Ornithopoda)</w:t>
      </w:r>
    </w:p>
    <w:p w14:paraId="5ED86CCF" w14:textId="77777777" w:rsidR="00D361E3" w:rsidRPr="00A6130A" w:rsidRDefault="00D361E3" w:rsidP="00362C2A">
      <w:pPr>
        <w:spacing w:line="360" w:lineRule="auto"/>
        <w:ind w:left="567" w:hanging="283"/>
      </w:pPr>
      <w:r>
        <w:t>Character 59</w:t>
      </w:r>
      <w:r w:rsidRPr="00A6130A">
        <w:t xml:space="preserve">: 0 </w:t>
      </w:r>
      <w:r>
        <w:t>→</w:t>
      </w:r>
      <w:r w:rsidRPr="00A6130A">
        <w:t xml:space="preserve"> 1 </w:t>
      </w:r>
    </w:p>
    <w:p w14:paraId="2FD3236E" w14:textId="77777777" w:rsidR="00D361E3" w:rsidRPr="00A6130A" w:rsidRDefault="00D361E3" w:rsidP="00362C2A">
      <w:pPr>
        <w:spacing w:line="360" w:lineRule="auto"/>
        <w:ind w:left="567" w:hanging="283"/>
      </w:pPr>
      <w:r>
        <w:t>Character 96</w:t>
      </w:r>
      <w:r w:rsidRPr="00A6130A">
        <w:t xml:space="preserve">: 0 </w:t>
      </w:r>
      <w:r>
        <w:t>→</w:t>
      </w:r>
      <w:r w:rsidRPr="00A6130A">
        <w:t xml:space="preserve"> 1 </w:t>
      </w:r>
    </w:p>
    <w:p w14:paraId="520311D2" w14:textId="77777777" w:rsidR="00D361E3" w:rsidRPr="00A6130A" w:rsidRDefault="00D361E3" w:rsidP="00362C2A">
      <w:pPr>
        <w:spacing w:line="360" w:lineRule="auto"/>
        <w:ind w:left="567" w:hanging="283"/>
      </w:pPr>
      <w:r>
        <w:t>Character 142</w:t>
      </w:r>
      <w:r w:rsidRPr="00A6130A">
        <w:t xml:space="preserve">: 0 </w:t>
      </w:r>
      <w:r>
        <w:t>→</w:t>
      </w:r>
      <w:r w:rsidRPr="00A6130A">
        <w:t xml:space="preserve"> 1 </w:t>
      </w:r>
    </w:p>
    <w:p w14:paraId="5ACF7D7A" w14:textId="77777777" w:rsidR="00D361E3" w:rsidRPr="00A6130A" w:rsidRDefault="00D361E3" w:rsidP="00362C2A">
      <w:pPr>
        <w:spacing w:line="360" w:lineRule="auto"/>
        <w:ind w:left="567" w:hanging="283"/>
      </w:pPr>
      <w:r>
        <w:t>Character 158</w:t>
      </w:r>
      <w:r w:rsidRPr="00A6130A">
        <w:t xml:space="preserve">: 0 </w:t>
      </w:r>
      <w:r>
        <w:t>→</w:t>
      </w:r>
      <w:r w:rsidRPr="00A6130A">
        <w:t xml:space="preserve"> 1 </w:t>
      </w:r>
    </w:p>
    <w:p w14:paraId="650DA981" w14:textId="77777777" w:rsidR="00D361E3" w:rsidRPr="00A6130A" w:rsidRDefault="00D361E3" w:rsidP="00362C2A">
      <w:pPr>
        <w:spacing w:line="360" w:lineRule="auto"/>
        <w:ind w:left="567" w:hanging="283"/>
      </w:pPr>
      <w:r>
        <w:t>Character 160</w:t>
      </w:r>
      <w:r w:rsidRPr="00A6130A">
        <w:t xml:space="preserve">: 0 </w:t>
      </w:r>
      <w:r>
        <w:t>→</w:t>
      </w:r>
      <w:r w:rsidRPr="00A6130A">
        <w:t xml:space="preserve"> 1 </w:t>
      </w:r>
    </w:p>
    <w:p w14:paraId="582CA130" w14:textId="77777777" w:rsidR="00D361E3" w:rsidRPr="00A6130A" w:rsidRDefault="00D361E3" w:rsidP="00362C2A">
      <w:pPr>
        <w:spacing w:line="360" w:lineRule="auto"/>
        <w:ind w:left="567" w:hanging="283"/>
      </w:pPr>
      <w:r>
        <w:t>Character 166</w:t>
      </w:r>
      <w:r w:rsidRPr="00A6130A">
        <w:t xml:space="preserve">: 0 </w:t>
      </w:r>
      <w:r>
        <w:t>→</w:t>
      </w:r>
      <w:r w:rsidRPr="00A6130A">
        <w:t xml:space="preserve"> 1 </w:t>
      </w:r>
    </w:p>
    <w:p w14:paraId="43309AC9" w14:textId="77777777" w:rsidR="00D361E3" w:rsidRPr="00A6130A" w:rsidRDefault="00D361E3" w:rsidP="00362C2A">
      <w:pPr>
        <w:spacing w:line="360" w:lineRule="auto"/>
        <w:ind w:left="567" w:hanging="283"/>
      </w:pPr>
      <w:r>
        <w:t>Character 310</w:t>
      </w:r>
      <w:r w:rsidRPr="00A6130A">
        <w:t xml:space="preserve">: 0 </w:t>
      </w:r>
      <w:r>
        <w:t>→</w:t>
      </w:r>
      <w:r w:rsidRPr="00A6130A">
        <w:t xml:space="preserve"> 1</w:t>
      </w:r>
    </w:p>
    <w:p w14:paraId="3AAEDD86" w14:textId="77777777" w:rsidR="00D361E3" w:rsidRDefault="00D361E3" w:rsidP="00362C2A">
      <w:pPr>
        <w:spacing w:line="360" w:lineRule="auto"/>
        <w:ind w:left="567" w:hanging="283"/>
      </w:pPr>
      <w:r>
        <w:t>Character 315</w:t>
      </w:r>
      <w:r w:rsidRPr="00A6130A">
        <w:t xml:space="preserve">: 0 </w:t>
      </w:r>
      <w:r>
        <w:t>→</w:t>
      </w:r>
      <w:r w:rsidRPr="00A6130A">
        <w:t xml:space="preserve"> 1</w:t>
      </w:r>
    </w:p>
    <w:p w14:paraId="6175229D" w14:textId="77777777" w:rsidR="00D361E3" w:rsidRDefault="00D361E3" w:rsidP="00362C2A">
      <w:pPr>
        <w:spacing w:line="360" w:lineRule="auto"/>
      </w:pPr>
    </w:p>
    <w:p w14:paraId="65BDBF11" w14:textId="77777777" w:rsidR="00D361E3" w:rsidRPr="00A6130A" w:rsidRDefault="00D361E3" w:rsidP="00362C2A">
      <w:pPr>
        <w:spacing w:line="360" w:lineRule="auto"/>
        <w:rPr>
          <w:b/>
        </w:rPr>
      </w:pPr>
      <w:r w:rsidRPr="00A6130A">
        <w:rPr>
          <w:b/>
        </w:rPr>
        <w:t xml:space="preserve">Node </w:t>
      </w:r>
      <w:r>
        <w:rPr>
          <w:b/>
        </w:rPr>
        <w:t>11</w:t>
      </w:r>
      <w:r w:rsidRPr="00A6130A">
        <w:rPr>
          <w:b/>
        </w:rPr>
        <w:t xml:space="preserve">: </w:t>
      </w:r>
      <w:r>
        <w:rPr>
          <w:b/>
        </w:rPr>
        <w:t>Elasmaria</w:t>
      </w:r>
      <w:r w:rsidRPr="00A6130A">
        <w:rPr>
          <w:b/>
        </w:rPr>
        <w:t xml:space="preserve"> + </w:t>
      </w:r>
      <w:r>
        <w:rPr>
          <w:b/>
        </w:rPr>
        <w:t>Clypeodonta</w:t>
      </w:r>
    </w:p>
    <w:p w14:paraId="3B57EDCE" w14:textId="77777777" w:rsidR="00D361E3" w:rsidRPr="00A6130A" w:rsidRDefault="00D361E3" w:rsidP="00362C2A">
      <w:pPr>
        <w:spacing w:line="360" w:lineRule="auto"/>
        <w:ind w:left="567" w:hanging="283"/>
      </w:pPr>
      <w:r>
        <w:t>Character 125</w:t>
      </w:r>
      <w:r w:rsidRPr="00A6130A">
        <w:t xml:space="preserve">: 0 </w:t>
      </w:r>
      <w:r>
        <w:t>→</w:t>
      </w:r>
      <w:r w:rsidRPr="00A6130A">
        <w:t xml:space="preserve"> 1 </w:t>
      </w:r>
    </w:p>
    <w:p w14:paraId="374AD0A0" w14:textId="77777777" w:rsidR="00D361E3" w:rsidRDefault="00D361E3" w:rsidP="00362C2A">
      <w:pPr>
        <w:spacing w:line="360" w:lineRule="auto"/>
        <w:ind w:left="567" w:hanging="283"/>
      </w:pPr>
      <w:r>
        <w:t>Character 306: 0 → 2</w:t>
      </w:r>
    </w:p>
    <w:p w14:paraId="4C326D54" w14:textId="77777777" w:rsidR="00D361E3" w:rsidRDefault="00D361E3" w:rsidP="00362C2A">
      <w:pPr>
        <w:spacing w:line="360" w:lineRule="auto"/>
      </w:pPr>
    </w:p>
    <w:p w14:paraId="45991C3D" w14:textId="77777777" w:rsidR="00D361E3" w:rsidRPr="00A6130A" w:rsidRDefault="00D361E3" w:rsidP="00362C2A">
      <w:pPr>
        <w:spacing w:line="360" w:lineRule="auto"/>
        <w:rPr>
          <w:b/>
        </w:rPr>
      </w:pPr>
      <w:r w:rsidRPr="00A6130A">
        <w:rPr>
          <w:b/>
        </w:rPr>
        <w:t xml:space="preserve">Node </w:t>
      </w:r>
      <w:r>
        <w:rPr>
          <w:b/>
        </w:rPr>
        <w:t>12</w:t>
      </w:r>
      <w:r w:rsidRPr="00A6130A">
        <w:rPr>
          <w:b/>
        </w:rPr>
        <w:t xml:space="preserve">: </w:t>
      </w:r>
      <w:r>
        <w:rPr>
          <w:b/>
        </w:rPr>
        <w:t>Elasmaria</w:t>
      </w:r>
    </w:p>
    <w:p w14:paraId="1DDD1925" w14:textId="77777777" w:rsidR="00D361E3" w:rsidRPr="00A6130A" w:rsidRDefault="00D361E3" w:rsidP="00362C2A">
      <w:pPr>
        <w:spacing w:line="360" w:lineRule="auto"/>
        <w:ind w:left="567" w:hanging="283"/>
      </w:pPr>
      <w:r>
        <w:t xml:space="preserve">Character 233 </w:t>
      </w:r>
      <w:r w:rsidRPr="00C8464E">
        <w:t>Pubis, prepubic process shape</w:t>
      </w:r>
      <w:r w:rsidRPr="00A6130A">
        <w:t xml:space="preserve">: 1 </w:t>
      </w:r>
      <w:r>
        <w:t>→</w:t>
      </w:r>
      <w:r w:rsidRPr="00A6130A">
        <w:t xml:space="preserve"> 0 </w:t>
      </w:r>
    </w:p>
    <w:p w14:paraId="461A50C5" w14:textId="77777777" w:rsidR="00D361E3" w:rsidRDefault="00D361E3" w:rsidP="00362C2A">
      <w:pPr>
        <w:spacing w:line="360" w:lineRule="auto"/>
        <w:ind w:left="567" w:hanging="283"/>
      </w:pPr>
      <w:r>
        <w:t xml:space="preserve">Character 308 Maxillary crowns, labial primary or </w:t>
      </w:r>
      <w:r w:rsidRPr="00A6130A">
        <w:t>prominen</w:t>
      </w:r>
      <w:r>
        <w:t>t ridge position</w:t>
      </w:r>
      <w:r w:rsidRPr="00A6130A">
        <w:t xml:space="preserve">: 0 </w:t>
      </w:r>
      <w:r>
        <w:t>→</w:t>
      </w:r>
      <w:r w:rsidRPr="00A6130A">
        <w:t xml:space="preserve"> 1</w:t>
      </w:r>
      <w:r>
        <w:t xml:space="preserve"> </w:t>
      </w:r>
    </w:p>
    <w:p w14:paraId="7A997579" w14:textId="77777777" w:rsidR="00D361E3" w:rsidRDefault="00D361E3" w:rsidP="00362C2A">
      <w:pPr>
        <w:spacing w:line="360" w:lineRule="auto"/>
        <w:ind w:left="567" w:hanging="283"/>
      </w:pPr>
      <w:r>
        <w:t xml:space="preserve">Character 311 Maxillary crowns, alignment of fully extending apicobasal ridges: 1 → 0 </w:t>
      </w:r>
    </w:p>
    <w:p w14:paraId="6C3C8FFA" w14:textId="77777777" w:rsidR="00D361E3" w:rsidRDefault="00D361E3" w:rsidP="00362C2A">
      <w:pPr>
        <w:spacing w:line="360" w:lineRule="auto"/>
        <w:ind w:left="567" w:hanging="283"/>
      </w:pPr>
      <w:r>
        <w:t>Character 334 Metatarsal I, distal end with T-shaped profile: 0 → 1</w:t>
      </w:r>
    </w:p>
    <w:p w14:paraId="6A6C4EBF" w14:textId="77777777" w:rsidR="00D361E3" w:rsidRDefault="00D361E3" w:rsidP="00362C2A">
      <w:pPr>
        <w:spacing w:line="360" w:lineRule="auto"/>
      </w:pPr>
    </w:p>
    <w:p w14:paraId="5815E900" w14:textId="77777777" w:rsidR="00D361E3" w:rsidRPr="0026380B" w:rsidRDefault="00D361E3" w:rsidP="00362C2A">
      <w:pPr>
        <w:spacing w:line="360" w:lineRule="auto"/>
        <w:rPr>
          <w:b/>
        </w:rPr>
      </w:pPr>
      <w:r>
        <w:rPr>
          <w:b/>
        </w:rPr>
        <w:t>Node 13:</w:t>
      </w:r>
    </w:p>
    <w:p w14:paraId="5B988941" w14:textId="77777777" w:rsidR="00D361E3" w:rsidRDefault="00D361E3" w:rsidP="00362C2A">
      <w:pPr>
        <w:spacing w:line="360" w:lineRule="auto"/>
        <w:ind w:left="567" w:hanging="283"/>
      </w:pPr>
      <w:r>
        <w:t xml:space="preserve">Character 328 Scapula, presence of supraglenoid fossa: 0 → 1 </w:t>
      </w:r>
    </w:p>
    <w:p w14:paraId="05D65DCE" w14:textId="77777777" w:rsidR="00D361E3" w:rsidRDefault="00D361E3" w:rsidP="00362C2A">
      <w:pPr>
        <w:spacing w:line="360" w:lineRule="auto"/>
        <w:ind w:left="567" w:hanging="283"/>
      </w:pPr>
      <w:r>
        <w:t xml:space="preserve">Character 335 Metatarsal II, form in proximal view: 0 → 1 </w:t>
      </w:r>
    </w:p>
    <w:p w14:paraId="0BD95D7D" w14:textId="77777777" w:rsidR="00D361E3" w:rsidRDefault="00D361E3" w:rsidP="00362C2A">
      <w:pPr>
        <w:spacing w:line="360" w:lineRule="auto"/>
      </w:pPr>
    </w:p>
    <w:p w14:paraId="2CE439FC" w14:textId="77777777" w:rsidR="00D361E3" w:rsidRPr="0026380B" w:rsidRDefault="00D361E3" w:rsidP="00362C2A">
      <w:pPr>
        <w:spacing w:line="360" w:lineRule="auto"/>
        <w:rPr>
          <w:b/>
        </w:rPr>
      </w:pPr>
      <w:r>
        <w:rPr>
          <w:b/>
        </w:rPr>
        <w:t xml:space="preserve">Node 14: </w:t>
      </w:r>
      <w:r w:rsidRPr="008D4EEB">
        <w:rPr>
          <w:b/>
          <w:i/>
        </w:rPr>
        <w:t>Galleonosaurus</w:t>
      </w:r>
      <w:r>
        <w:rPr>
          <w:b/>
        </w:rPr>
        <w:t xml:space="preserve"> + </w:t>
      </w:r>
      <w:r w:rsidRPr="008D4EEB">
        <w:rPr>
          <w:b/>
          <w:i/>
        </w:rPr>
        <w:t>Diluvicursor</w:t>
      </w:r>
      <w:r>
        <w:rPr>
          <w:b/>
        </w:rPr>
        <w:t xml:space="preserve"> + </w:t>
      </w:r>
      <w:r w:rsidRPr="008D4EEB">
        <w:rPr>
          <w:b/>
          <w:i/>
        </w:rPr>
        <w:t>Leaellynasaura</w:t>
      </w:r>
      <w:r>
        <w:rPr>
          <w:b/>
        </w:rPr>
        <w:t xml:space="preserve"> + </w:t>
      </w:r>
      <w:r w:rsidRPr="008D4EEB">
        <w:rPr>
          <w:b/>
          <w:i/>
        </w:rPr>
        <w:t>Anabisetia</w:t>
      </w:r>
    </w:p>
    <w:p w14:paraId="4A914D84" w14:textId="77777777" w:rsidR="00D361E3" w:rsidRDefault="00D361E3" w:rsidP="00362C2A">
      <w:pPr>
        <w:spacing w:line="360" w:lineRule="auto"/>
        <w:ind w:left="567" w:hanging="283"/>
      </w:pPr>
      <w:r>
        <w:t xml:space="preserve">Character 180 </w:t>
      </w:r>
      <w:r w:rsidRPr="00C8464E">
        <w:t>Caudal ribs, location</w:t>
      </w:r>
      <w:r>
        <w:t xml:space="preserve">: 1 → 2 </w:t>
      </w:r>
    </w:p>
    <w:p w14:paraId="43579A0B" w14:textId="77777777" w:rsidR="00D361E3" w:rsidRDefault="00D361E3" w:rsidP="00362C2A">
      <w:pPr>
        <w:spacing w:line="360" w:lineRule="auto"/>
        <w:ind w:left="567" w:hanging="283"/>
      </w:pPr>
      <w:r>
        <w:t xml:space="preserve">Character 322 Caudal vertebral neural spine angle relative to dorsal plane: 0 → 1 </w:t>
      </w:r>
    </w:p>
    <w:p w14:paraId="12BD70B7" w14:textId="77777777" w:rsidR="00D361E3" w:rsidRDefault="00D361E3" w:rsidP="00362C2A">
      <w:pPr>
        <w:spacing w:line="360" w:lineRule="auto"/>
        <w:ind w:left="567" w:hanging="567"/>
      </w:pPr>
      <w:r w:rsidRPr="00A004EB">
        <w:rPr>
          <w:i/>
        </w:rPr>
        <w:t>Some trees:</w:t>
      </w:r>
    </w:p>
    <w:p w14:paraId="0899D25C" w14:textId="77777777" w:rsidR="00D361E3" w:rsidRDefault="00D361E3" w:rsidP="00362C2A">
      <w:pPr>
        <w:spacing w:line="360" w:lineRule="auto"/>
        <w:ind w:left="567" w:hanging="283"/>
      </w:pPr>
      <w:r>
        <w:t xml:space="preserve">Character 309 Maxillary crowns, position of basal vertex relative to central axis of root: 0 → 1 </w:t>
      </w:r>
    </w:p>
    <w:p w14:paraId="1027B78A" w14:textId="77777777" w:rsidR="00D361E3" w:rsidRPr="00A6130A" w:rsidRDefault="00D361E3" w:rsidP="00362C2A">
      <w:pPr>
        <w:spacing w:line="360" w:lineRule="auto"/>
      </w:pPr>
    </w:p>
    <w:p w14:paraId="5EB8F1BD" w14:textId="77777777" w:rsidR="00D361E3" w:rsidRPr="00A6130A" w:rsidRDefault="00D361E3" w:rsidP="00362C2A">
      <w:pPr>
        <w:spacing w:line="360" w:lineRule="auto"/>
        <w:rPr>
          <w:b/>
        </w:rPr>
      </w:pPr>
      <w:r w:rsidRPr="00A6130A">
        <w:rPr>
          <w:b/>
        </w:rPr>
        <w:t xml:space="preserve">Node </w:t>
      </w:r>
      <w:r>
        <w:rPr>
          <w:b/>
        </w:rPr>
        <w:t>15</w:t>
      </w:r>
      <w:r w:rsidRPr="00A6130A">
        <w:rPr>
          <w:b/>
        </w:rPr>
        <w:t xml:space="preserve">: </w:t>
      </w:r>
      <w:r w:rsidRPr="008D4EEB">
        <w:rPr>
          <w:b/>
          <w:i/>
        </w:rPr>
        <w:t>Hypsilophodon</w:t>
      </w:r>
      <w:r>
        <w:rPr>
          <w:b/>
        </w:rPr>
        <w:t xml:space="preserve"> + MNT (Clypeodonta) </w:t>
      </w:r>
    </w:p>
    <w:p w14:paraId="781EB9DF" w14:textId="77777777" w:rsidR="00D361E3" w:rsidRPr="00A6130A" w:rsidRDefault="00D361E3" w:rsidP="00362C2A">
      <w:pPr>
        <w:spacing w:line="360" w:lineRule="auto"/>
        <w:ind w:left="567" w:hanging="283"/>
      </w:pPr>
      <w:r>
        <w:t>Character 70</w:t>
      </w:r>
      <w:r w:rsidRPr="00A6130A">
        <w:t xml:space="preserve">: 1 </w:t>
      </w:r>
      <w:r>
        <w:t>→</w:t>
      </w:r>
      <w:r w:rsidRPr="00A6130A">
        <w:t xml:space="preserve"> 0 </w:t>
      </w:r>
    </w:p>
    <w:p w14:paraId="4DCD9486" w14:textId="77777777" w:rsidR="00D361E3" w:rsidRPr="00A6130A" w:rsidRDefault="00D361E3" w:rsidP="00362C2A">
      <w:pPr>
        <w:spacing w:line="360" w:lineRule="auto"/>
        <w:ind w:left="567" w:hanging="283"/>
      </w:pPr>
      <w:r>
        <w:t>Character 117</w:t>
      </w:r>
      <w:r w:rsidRPr="00A6130A">
        <w:t xml:space="preserve">: 1 </w:t>
      </w:r>
      <w:r>
        <w:t>→</w:t>
      </w:r>
      <w:r w:rsidRPr="00A6130A">
        <w:t xml:space="preserve"> 2 </w:t>
      </w:r>
    </w:p>
    <w:p w14:paraId="62C7C3E6" w14:textId="77777777" w:rsidR="00D361E3" w:rsidRPr="00A6130A" w:rsidRDefault="00D361E3" w:rsidP="00362C2A">
      <w:pPr>
        <w:spacing w:line="360" w:lineRule="auto"/>
        <w:ind w:left="567" w:hanging="283"/>
      </w:pPr>
      <w:r>
        <w:t>Character 163</w:t>
      </w:r>
      <w:r w:rsidRPr="00A6130A">
        <w:t xml:space="preserve">: 1 </w:t>
      </w:r>
      <w:r>
        <w:t>→</w:t>
      </w:r>
      <w:r w:rsidRPr="00A6130A">
        <w:t xml:space="preserve"> 0 </w:t>
      </w:r>
    </w:p>
    <w:p w14:paraId="24B34BFD" w14:textId="77777777" w:rsidR="00D361E3" w:rsidRPr="00A6130A" w:rsidRDefault="00D361E3" w:rsidP="00362C2A">
      <w:pPr>
        <w:spacing w:line="360" w:lineRule="auto"/>
        <w:ind w:left="567" w:hanging="283"/>
      </w:pPr>
      <w:r>
        <w:t xml:space="preserve">Character 305: </w:t>
      </w:r>
      <w:r w:rsidRPr="00A6130A">
        <w:t xml:space="preserve">0 </w:t>
      </w:r>
      <w:r>
        <w:t>→</w:t>
      </w:r>
      <w:r w:rsidRPr="00A6130A">
        <w:t xml:space="preserve"> 1 </w:t>
      </w:r>
    </w:p>
    <w:p w14:paraId="0D76DEF0" w14:textId="77777777" w:rsidR="00D361E3" w:rsidRDefault="00D361E3" w:rsidP="00362C2A">
      <w:pPr>
        <w:spacing w:line="360" w:lineRule="auto"/>
        <w:ind w:left="567" w:hanging="283"/>
      </w:pPr>
      <w:r>
        <w:t xml:space="preserve">Character 312: </w:t>
      </w:r>
      <w:r w:rsidRPr="00A6130A">
        <w:t xml:space="preserve">0 </w:t>
      </w:r>
      <w:r>
        <w:t>→</w:t>
      </w:r>
      <w:r w:rsidRPr="00A6130A">
        <w:t xml:space="preserve"> 1</w:t>
      </w:r>
    </w:p>
    <w:p w14:paraId="24534F3E" w14:textId="77777777" w:rsidR="00D361E3" w:rsidRDefault="00D361E3" w:rsidP="00362C2A">
      <w:pPr>
        <w:spacing w:line="360" w:lineRule="auto"/>
      </w:pPr>
    </w:p>
    <w:p w14:paraId="2B13BDE3" w14:textId="77777777" w:rsidR="00D361E3" w:rsidRPr="0026380B" w:rsidRDefault="00D361E3" w:rsidP="00362C2A">
      <w:pPr>
        <w:spacing w:line="360" w:lineRule="auto"/>
        <w:rPr>
          <w:b/>
        </w:rPr>
      </w:pPr>
      <w:r w:rsidRPr="0026380B">
        <w:rPr>
          <w:b/>
        </w:rPr>
        <w:t xml:space="preserve">Node </w:t>
      </w:r>
      <w:r>
        <w:rPr>
          <w:b/>
        </w:rPr>
        <w:t>16</w:t>
      </w:r>
      <w:r w:rsidRPr="0026380B">
        <w:rPr>
          <w:b/>
        </w:rPr>
        <w:t>: Iguanodontia</w:t>
      </w:r>
    </w:p>
    <w:p w14:paraId="2F68886E" w14:textId="77777777" w:rsidR="00D361E3" w:rsidRDefault="00D361E3" w:rsidP="00362C2A">
      <w:pPr>
        <w:spacing w:line="360" w:lineRule="auto"/>
        <w:ind w:left="567" w:hanging="283"/>
      </w:pPr>
      <w:r>
        <w:t xml:space="preserve">Character 42: 0 → 1 </w:t>
      </w:r>
    </w:p>
    <w:p w14:paraId="5846AB11" w14:textId="77777777" w:rsidR="00D361E3" w:rsidRDefault="00D361E3" w:rsidP="00362C2A">
      <w:pPr>
        <w:spacing w:line="360" w:lineRule="auto"/>
        <w:ind w:left="567" w:hanging="283"/>
      </w:pPr>
      <w:r>
        <w:t xml:space="preserve">Character 49: 0 → 1 </w:t>
      </w:r>
    </w:p>
    <w:p w14:paraId="2A1D937A" w14:textId="77777777" w:rsidR="00D361E3" w:rsidRDefault="00D361E3" w:rsidP="00362C2A">
      <w:pPr>
        <w:spacing w:line="360" w:lineRule="auto"/>
        <w:ind w:left="567" w:hanging="283"/>
      </w:pPr>
      <w:r>
        <w:t xml:space="preserve">Character 57: 0 → 1 </w:t>
      </w:r>
    </w:p>
    <w:p w14:paraId="4BAF832A" w14:textId="77777777" w:rsidR="00D361E3" w:rsidRDefault="00D361E3" w:rsidP="00362C2A">
      <w:pPr>
        <w:spacing w:line="360" w:lineRule="auto"/>
        <w:ind w:left="567" w:hanging="283"/>
      </w:pPr>
      <w:r>
        <w:t xml:space="preserve">Character 72: 0 → 1 </w:t>
      </w:r>
    </w:p>
    <w:p w14:paraId="2747C5EA" w14:textId="77777777" w:rsidR="00D361E3" w:rsidRDefault="00D361E3" w:rsidP="00362C2A">
      <w:pPr>
        <w:spacing w:line="360" w:lineRule="auto"/>
        <w:ind w:left="567" w:hanging="283"/>
      </w:pPr>
      <w:r>
        <w:t xml:space="preserve">Character 79: 0 → 1 </w:t>
      </w:r>
    </w:p>
    <w:p w14:paraId="07806BD1" w14:textId="77777777" w:rsidR="00D361E3" w:rsidRDefault="00D361E3" w:rsidP="00362C2A">
      <w:pPr>
        <w:spacing w:line="360" w:lineRule="auto"/>
        <w:ind w:left="567" w:hanging="283"/>
      </w:pPr>
      <w:r>
        <w:t xml:space="preserve">Character 80: 0 → 1 </w:t>
      </w:r>
    </w:p>
    <w:p w14:paraId="64B4E12D" w14:textId="77777777" w:rsidR="00D361E3" w:rsidRDefault="00D361E3" w:rsidP="00362C2A">
      <w:pPr>
        <w:spacing w:line="360" w:lineRule="auto"/>
        <w:ind w:left="567" w:hanging="283"/>
      </w:pPr>
      <w:r>
        <w:t xml:space="preserve">Character 109: 1 → 0 </w:t>
      </w:r>
    </w:p>
    <w:p w14:paraId="0A2F7AA8" w14:textId="77777777" w:rsidR="00D361E3" w:rsidRDefault="00D361E3" w:rsidP="00362C2A">
      <w:pPr>
        <w:spacing w:line="360" w:lineRule="auto"/>
        <w:ind w:left="567" w:hanging="283"/>
      </w:pPr>
      <w:r>
        <w:t xml:space="preserve">Character 120: 0 → 1 </w:t>
      </w:r>
    </w:p>
    <w:p w14:paraId="5A812372" w14:textId="77777777" w:rsidR="00D361E3" w:rsidRDefault="00D361E3" w:rsidP="00362C2A">
      <w:pPr>
        <w:spacing w:line="360" w:lineRule="auto"/>
        <w:ind w:left="567" w:hanging="283"/>
      </w:pPr>
      <w:r>
        <w:t xml:space="preserve">Character 171: 0 → 1 </w:t>
      </w:r>
    </w:p>
    <w:p w14:paraId="2739B0E5" w14:textId="77777777" w:rsidR="00D361E3" w:rsidRDefault="00D361E3" w:rsidP="00362C2A">
      <w:pPr>
        <w:spacing w:line="360" w:lineRule="auto"/>
        <w:ind w:left="567" w:hanging="283"/>
      </w:pPr>
      <w:r>
        <w:t xml:space="preserve">Character 176: 0 → 1 </w:t>
      </w:r>
    </w:p>
    <w:p w14:paraId="6B440AEB" w14:textId="77777777" w:rsidR="00D361E3" w:rsidRDefault="00D361E3" w:rsidP="00362C2A">
      <w:pPr>
        <w:spacing w:line="360" w:lineRule="auto"/>
        <w:ind w:left="567" w:hanging="283"/>
      </w:pPr>
      <w:r>
        <w:t xml:space="preserve">Character 223: 1 → 0 </w:t>
      </w:r>
    </w:p>
    <w:p w14:paraId="2C63CF62" w14:textId="77777777" w:rsidR="00D361E3" w:rsidRDefault="00D361E3" w:rsidP="00362C2A">
      <w:pPr>
        <w:spacing w:line="360" w:lineRule="auto"/>
        <w:ind w:left="567" w:hanging="283"/>
      </w:pPr>
      <w:r>
        <w:t xml:space="preserve">Character 260: 0 → 1 </w:t>
      </w:r>
    </w:p>
    <w:p w14:paraId="0C17BFBE" w14:textId="77777777" w:rsidR="00D361E3" w:rsidRDefault="00D361E3" w:rsidP="00362C2A">
      <w:pPr>
        <w:spacing w:line="360" w:lineRule="auto"/>
        <w:rPr>
          <w:b/>
        </w:rPr>
      </w:pPr>
    </w:p>
    <w:p w14:paraId="06238709" w14:textId="77777777" w:rsidR="00D361E3" w:rsidRPr="00F456D9" w:rsidRDefault="00D361E3" w:rsidP="00362C2A">
      <w:pPr>
        <w:spacing w:line="360" w:lineRule="auto"/>
        <w:rPr>
          <w:b/>
        </w:rPr>
      </w:pPr>
      <w:r w:rsidRPr="00F456D9">
        <w:rPr>
          <w:b/>
        </w:rPr>
        <w:t xml:space="preserve">Node </w:t>
      </w:r>
      <w:r>
        <w:rPr>
          <w:b/>
        </w:rPr>
        <w:t>17</w:t>
      </w:r>
      <w:r w:rsidRPr="00F456D9">
        <w:rPr>
          <w:b/>
        </w:rPr>
        <w:t>: Rhabdodontidae</w:t>
      </w:r>
    </w:p>
    <w:p w14:paraId="1C0021CA" w14:textId="77777777" w:rsidR="00D361E3" w:rsidRDefault="00D361E3" w:rsidP="00362C2A">
      <w:pPr>
        <w:spacing w:line="360" w:lineRule="auto"/>
        <w:ind w:left="567" w:hanging="283"/>
      </w:pPr>
      <w:r>
        <w:t xml:space="preserve">Character 126: 2 → 0 </w:t>
      </w:r>
    </w:p>
    <w:p w14:paraId="4C1CFABA" w14:textId="77777777" w:rsidR="00D361E3" w:rsidRDefault="00D361E3" w:rsidP="00362C2A">
      <w:pPr>
        <w:spacing w:line="360" w:lineRule="auto"/>
        <w:ind w:left="567" w:hanging="283"/>
      </w:pPr>
      <w:r>
        <w:t xml:space="preserve">Character 157: 0 → 1 </w:t>
      </w:r>
    </w:p>
    <w:p w14:paraId="0ECBA231" w14:textId="77777777" w:rsidR="00D361E3" w:rsidRDefault="00D361E3" w:rsidP="00362C2A">
      <w:pPr>
        <w:spacing w:line="360" w:lineRule="auto"/>
        <w:ind w:left="567" w:hanging="283"/>
      </w:pPr>
      <w:r>
        <w:t xml:space="preserve">Character 240: 0 → 1 </w:t>
      </w:r>
    </w:p>
    <w:p w14:paraId="3519E581" w14:textId="77777777" w:rsidR="00D361E3" w:rsidRDefault="00D361E3" w:rsidP="00362C2A">
      <w:pPr>
        <w:spacing w:line="360" w:lineRule="auto"/>
        <w:ind w:left="567" w:hanging="283"/>
      </w:pPr>
      <w:r>
        <w:t xml:space="preserve">Character 261: 0 → 1 </w:t>
      </w:r>
    </w:p>
    <w:p w14:paraId="3D864614" w14:textId="77777777" w:rsidR="00D361E3" w:rsidRDefault="00D361E3" w:rsidP="00362C2A">
      <w:pPr>
        <w:spacing w:line="360" w:lineRule="auto"/>
        <w:ind w:left="567" w:hanging="283"/>
      </w:pPr>
      <w:r>
        <w:t xml:space="preserve">Character 300: 0 → 1 </w:t>
      </w:r>
    </w:p>
    <w:p w14:paraId="633B3A4A" w14:textId="77777777" w:rsidR="00D361E3" w:rsidRDefault="00D361E3" w:rsidP="00362C2A">
      <w:pPr>
        <w:spacing w:line="360" w:lineRule="auto"/>
        <w:ind w:left="567" w:hanging="283"/>
      </w:pPr>
      <w:r>
        <w:t xml:space="preserve">Character 307: 2 → 0 </w:t>
      </w:r>
    </w:p>
    <w:p w14:paraId="72381E98" w14:textId="77777777" w:rsidR="00D361E3" w:rsidRDefault="00D361E3" w:rsidP="00362C2A">
      <w:pPr>
        <w:spacing w:line="360" w:lineRule="auto"/>
        <w:ind w:left="567" w:hanging="283"/>
      </w:pPr>
      <w:r>
        <w:t xml:space="preserve">Character 311: 1 → 0 </w:t>
      </w:r>
    </w:p>
    <w:p w14:paraId="6DFA94C4" w14:textId="77777777" w:rsidR="00D361E3" w:rsidRDefault="00D361E3" w:rsidP="00362C2A">
      <w:pPr>
        <w:spacing w:line="360" w:lineRule="auto"/>
      </w:pPr>
    </w:p>
    <w:p w14:paraId="412A249B" w14:textId="77777777" w:rsidR="00D361E3" w:rsidRPr="0026380B" w:rsidRDefault="00D361E3" w:rsidP="00362C2A">
      <w:pPr>
        <w:spacing w:line="360" w:lineRule="auto"/>
        <w:rPr>
          <w:b/>
        </w:rPr>
      </w:pPr>
      <w:r w:rsidRPr="00AB5799">
        <w:rPr>
          <w:b/>
        </w:rPr>
        <w:t xml:space="preserve">Node 18: </w:t>
      </w:r>
      <w:r w:rsidRPr="00AB5799">
        <w:rPr>
          <w:b/>
          <w:i/>
        </w:rPr>
        <w:t>Muttaburrasaurus</w:t>
      </w:r>
      <w:r w:rsidRPr="00AB5799">
        <w:rPr>
          <w:b/>
        </w:rPr>
        <w:t xml:space="preserve"> + MNT</w:t>
      </w:r>
    </w:p>
    <w:p w14:paraId="08CB1C76" w14:textId="77777777" w:rsidR="00D361E3" w:rsidRDefault="00D361E3" w:rsidP="00362C2A">
      <w:pPr>
        <w:spacing w:line="360" w:lineRule="auto"/>
        <w:ind w:left="567" w:hanging="283"/>
      </w:pPr>
      <w:r>
        <w:t xml:space="preserve">Character 13 </w:t>
      </w:r>
      <w:r w:rsidRPr="00C8464E">
        <w:t>Premaxilla, posterolateral process length</w:t>
      </w:r>
      <w:r>
        <w:t xml:space="preserve">: 0 → 1 </w:t>
      </w:r>
    </w:p>
    <w:p w14:paraId="730F9FA6" w14:textId="77777777" w:rsidR="00D361E3" w:rsidRDefault="00D361E3" w:rsidP="00362C2A">
      <w:pPr>
        <w:spacing w:line="360" w:lineRule="auto"/>
        <w:ind w:left="567" w:hanging="283"/>
      </w:pPr>
      <w:r>
        <w:t xml:space="preserve">Character 89 </w:t>
      </w:r>
      <w:r w:rsidRPr="00C8464E">
        <w:t>Supraoccipital, contribution to dorsal margin of the foramen magnum</w:t>
      </w:r>
      <w:r>
        <w:t xml:space="preserve">: 0 → 1 </w:t>
      </w:r>
    </w:p>
    <w:p w14:paraId="396C99C4" w14:textId="77777777" w:rsidR="00D361E3" w:rsidRDefault="00D361E3" w:rsidP="00362C2A">
      <w:pPr>
        <w:spacing w:line="360" w:lineRule="auto"/>
        <w:ind w:left="567" w:hanging="283"/>
      </w:pPr>
      <w:r>
        <w:t xml:space="preserve">Character 259 </w:t>
      </w:r>
      <w:r w:rsidRPr="00C8464E">
        <w:t xml:space="preserve">Femur, </w:t>
      </w:r>
      <w:r>
        <w:t xml:space="preserve">form of </w:t>
      </w:r>
      <w:r w:rsidRPr="00C8464E">
        <w:t>posterior (flexor) intercondylar groove</w:t>
      </w:r>
      <w:r>
        <w:t xml:space="preserve">: 0 → 1 </w:t>
      </w:r>
    </w:p>
    <w:p w14:paraId="1653D4CA" w14:textId="77777777" w:rsidR="00D361E3" w:rsidRDefault="00D361E3" w:rsidP="00362C2A">
      <w:pPr>
        <w:spacing w:line="360" w:lineRule="auto"/>
      </w:pPr>
    </w:p>
    <w:p w14:paraId="29170208" w14:textId="77777777" w:rsidR="00D361E3" w:rsidRPr="0026380B" w:rsidRDefault="00D361E3" w:rsidP="00362C2A">
      <w:pPr>
        <w:spacing w:line="360" w:lineRule="auto"/>
        <w:rPr>
          <w:b/>
        </w:rPr>
      </w:pPr>
      <w:r w:rsidRPr="0026380B">
        <w:rPr>
          <w:b/>
        </w:rPr>
        <w:t xml:space="preserve">Node </w:t>
      </w:r>
      <w:r>
        <w:rPr>
          <w:b/>
        </w:rPr>
        <w:t>19</w:t>
      </w:r>
      <w:r w:rsidRPr="0026380B">
        <w:rPr>
          <w:b/>
        </w:rPr>
        <w:t>:</w:t>
      </w:r>
    </w:p>
    <w:p w14:paraId="72B5ACAB" w14:textId="77777777" w:rsidR="00D361E3" w:rsidRDefault="00D361E3" w:rsidP="00362C2A">
      <w:pPr>
        <w:spacing w:line="360" w:lineRule="auto"/>
        <w:ind w:left="567" w:hanging="283"/>
      </w:pPr>
      <w:r>
        <w:t xml:space="preserve">Character 19: 0 → 1 </w:t>
      </w:r>
    </w:p>
    <w:p w14:paraId="3EAE0C10" w14:textId="77777777" w:rsidR="00D361E3" w:rsidRDefault="00D361E3" w:rsidP="00362C2A">
      <w:pPr>
        <w:spacing w:line="360" w:lineRule="auto"/>
        <w:ind w:left="567" w:hanging="283"/>
      </w:pPr>
      <w:r>
        <w:t xml:space="preserve">Character 90: 0 → 1 </w:t>
      </w:r>
    </w:p>
    <w:p w14:paraId="3611AA0A" w14:textId="77777777" w:rsidR="00D361E3" w:rsidRDefault="00D361E3" w:rsidP="00362C2A">
      <w:pPr>
        <w:spacing w:line="360" w:lineRule="auto"/>
        <w:ind w:left="567" w:hanging="283"/>
      </w:pPr>
      <w:r>
        <w:t xml:space="preserve">Character 233: 1 → 0 </w:t>
      </w:r>
    </w:p>
    <w:p w14:paraId="5EB50E82" w14:textId="77777777" w:rsidR="00D361E3" w:rsidRDefault="00D361E3" w:rsidP="00362C2A">
      <w:pPr>
        <w:spacing w:line="360" w:lineRule="auto"/>
        <w:ind w:left="567" w:hanging="283"/>
      </w:pPr>
      <w:r>
        <w:t xml:space="preserve">Character 269: 0 → 2 </w:t>
      </w:r>
    </w:p>
    <w:p w14:paraId="62FA7900" w14:textId="77777777" w:rsidR="00D361E3" w:rsidRDefault="00D361E3" w:rsidP="00362C2A">
      <w:pPr>
        <w:spacing w:line="360" w:lineRule="auto"/>
      </w:pPr>
      <w:r>
        <w:t xml:space="preserve"> </w:t>
      </w:r>
    </w:p>
    <w:p w14:paraId="3E00E4CB" w14:textId="77777777" w:rsidR="00D361E3" w:rsidRPr="00F456D9" w:rsidRDefault="00D361E3" w:rsidP="00362C2A">
      <w:pPr>
        <w:spacing w:line="360" w:lineRule="auto"/>
        <w:rPr>
          <w:b/>
        </w:rPr>
      </w:pPr>
      <w:r w:rsidRPr="00F456D9">
        <w:rPr>
          <w:b/>
        </w:rPr>
        <w:t xml:space="preserve">Node </w:t>
      </w:r>
      <w:r>
        <w:rPr>
          <w:b/>
        </w:rPr>
        <w:t>20</w:t>
      </w:r>
      <w:r w:rsidRPr="00F456D9">
        <w:rPr>
          <w:b/>
        </w:rPr>
        <w:t>: Dryomorpha</w:t>
      </w:r>
    </w:p>
    <w:p w14:paraId="435619E3" w14:textId="77777777" w:rsidR="00D361E3" w:rsidRDefault="00D361E3" w:rsidP="00362C2A">
      <w:pPr>
        <w:spacing w:line="360" w:lineRule="auto"/>
        <w:ind w:left="567" w:hanging="283"/>
      </w:pPr>
      <w:r>
        <w:t xml:space="preserve">Character 49: 1 → 0 </w:t>
      </w:r>
    </w:p>
    <w:p w14:paraId="592BE0A5" w14:textId="77777777" w:rsidR="00D361E3" w:rsidRDefault="00D361E3" w:rsidP="00362C2A">
      <w:pPr>
        <w:spacing w:line="360" w:lineRule="auto"/>
        <w:ind w:left="567" w:hanging="283"/>
      </w:pPr>
      <w:r>
        <w:t xml:space="preserve">Character 70: 0 → 1 </w:t>
      </w:r>
    </w:p>
    <w:p w14:paraId="03560937" w14:textId="77777777" w:rsidR="00D361E3" w:rsidRDefault="00D361E3" w:rsidP="00362C2A">
      <w:pPr>
        <w:spacing w:line="360" w:lineRule="auto"/>
        <w:ind w:left="567" w:hanging="283"/>
      </w:pPr>
      <w:r>
        <w:t xml:space="preserve">Character 156: 0 → 1 </w:t>
      </w:r>
    </w:p>
    <w:p w14:paraId="16AC2C58" w14:textId="77777777" w:rsidR="00D361E3" w:rsidRDefault="00D361E3" w:rsidP="00362C2A">
      <w:pPr>
        <w:spacing w:line="360" w:lineRule="auto"/>
        <w:ind w:left="567" w:hanging="283"/>
      </w:pPr>
      <w:r>
        <w:t xml:space="preserve">Character 205: 0 → 1 </w:t>
      </w:r>
    </w:p>
    <w:p w14:paraId="662DE9A2" w14:textId="77777777" w:rsidR="00D361E3" w:rsidRDefault="00D361E3" w:rsidP="00362C2A">
      <w:pPr>
        <w:spacing w:line="360" w:lineRule="auto"/>
        <w:ind w:left="567" w:hanging="283"/>
      </w:pPr>
      <w:r>
        <w:t xml:space="preserve">Character 245: 0 → 1 </w:t>
      </w:r>
    </w:p>
    <w:p w14:paraId="0A68D880" w14:textId="77777777" w:rsidR="00D361E3" w:rsidRDefault="00D361E3" w:rsidP="00362C2A">
      <w:pPr>
        <w:spacing w:line="360" w:lineRule="auto"/>
        <w:ind w:left="567" w:hanging="283"/>
      </w:pPr>
      <w:r>
        <w:t xml:space="preserve">Character 246: 0 → 1 </w:t>
      </w:r>
    </w:p>
    <w:p w14:paraId="73466882" w14:textId="77777777" w:rsidR="00D361E3" w:rsidRDefault="00D361E3" w:rsidP="00362C2A">
      <w:pPr>
        <w:spacing w:line="360" w:lineRule="auto"/>
        <w:ind w:left="567" w:hanging="283"/>
      </w:pPr>
      <w:r>
        <w:t xml:space="preserve">Character 276: 0 → 1 </w:t>
      </w:r>
    </w:p>
    <w:p w14:paraId="6F244466" w14:textId="77777777" w:rsidR="00D361E3" w:rsidRDefault="00D361E3" w:rsidP="00362C2A">
      <w:pPr>
        <w:spacing w:line="360" w:lineRule="auto"/>
        <w:ind w:left="567" w:hanging="283"/>
      </w:pPr>
      <w:r>
        <w:t xml:space="preserve">Character 283: 0 → 2 </w:t>
      </w:r>
    </w:p>
    <w:p w14:paraId="5D6102F3" w14:textId="77777777" w:rsidR="00D361E3" w:rsidRDefault="00D361E3" w:rsidP="00362C2A">
      <w:pPr>
        <w:spacing w:line="360" w:lineRule="auto"/>
        <w:ind w:left="567" w:hanging="283"/>
      </w:pPr>
      <w:r>
        <w:t xml:space="preserve">Character 316: 0 → 1 </w:t>
      </w:r>
    </w:p>
    <w:p w14:paraId="6DBB14E4" w14:textId="77777777" w:rsidR="00D361E3" w:rsidRDefault="00D361E3" w:rsidP="00362C2A">
      <w:pPr>
        <w:spacing w:line="360" w:lineRule="auto"/>
      </w:pPr>
    </w:p>
    <w:p w14:paraId="3D1D6F41" w14:textId="77777777" w:rsidR="00D361E3" w:rsidRPr="00F456D9" w:rsidRDefault="00D361E3" w:rsidP="00362C2A">
      <w:pPr>
        <w:spacing w:line="360" w:lineRule="auto"/>
        <w:rPr>
          <w:b/>
        </w:rPr>
      </w:pPr>
      <w:r w:rsidRPr="00F456D9">
        <w:rPr>
          <w:b/>
        </w:rPr>
        <w:t xml:space="preserve">Node </w:t>
      </w:r>
      <w:r>
        <w:rPr>
          <w:b/>
        </w:rPr>
        <w:t>21</w:t>
      </w:r>
      <w:r w:rsidRPr="00F456D9">
        <w:rPr>
          <w:b/>
        </w:rPr>
        <w:t>: Ankylopollexia</w:t>
      </w:r>
    </w:p>
    <w:p w14:paraId="2D41F757" w14:textId="77777777" w:rsidR="00D361E3" w:rsidRDefault="00D361E3" w:rsidP="00362C2A">
      <w:pPr>
        <w:spacing w:line="360" w:lineRule="auto"/>
        <w:ind w:left="567" w:hanging="283"/>
      </w:pPr>
      <w:r>
        <w:t xml:space="preserve">Character 11: 0 → 1 </w:t>
      </w:r>
    </w:p>
    <w:p w14:paraId="56BA9F91" w14:textId="77777777" w:rsidR="00D361E3" w:rsidRDefault="00D361E3" w:rsidP="00362C2A">
      <w:pPr>
        <w:spacing w:line="360" w:lineRule="auto"/>
        <w:ind w:left="567" w:hanging="283"/>
      </w:pPr>
      <w:r>
        <w:t xml:space="preserve">Character 39: 0 → 1 </w:t>
      </w:r>
    </w:p>
    <w:p w14:paraId="50886B25" w14:textId="77777777" w:rsidR="00D361E3" w:rsidRDefault="00D361E3" w:rsidP="00362C2A">
      <w:pPr>
        <w:spacing w:line="360" w:lineRule="auto"/>
        <w:ind w:left="567" w:hanging="283"/>
      </w:pPr>
      <w:r>
        <w:t xml:space="preserve">Character 57: 1 → 0 </w:t>
      </w:r>
    </w:p>
    <w:p w14:paraId="1C8352BE" w14:textId="77777777" w:rsidR="00D361E3" w:rsidRDefault="00D361E3" w:rsidP="00362C2A">
      <w:pPr>
        <w:spacing w:line="360" w:lineRule="auto"/>
        <w:ind w:left="567" w:hanging="283"/>
      </w:pPr>
      <w:r>
        <w:t xml:space="preserve">Character 62: 0 → 1 </w:t>
      </w:r>
    </w:p>
    <w:p w14:paraId="750A16DE" w14:textId="77777777" w:rsidR="00D361E3" w:rsidRDefault="00D361E3" w:rsidP="00362C2A">
      <w:pPr>
        <w:spacing w:line="360" w:lineRule="auto"/>
        <w:ind w:left="567" w:hanging="283"/>
      </w:pPr>
      <w:r>
        <w:t xml:space="preserve">Character 102: 1 → 2 </w:t>
      </w:r>
    </w:p>
    <w:p w14:paraId="1F1C264E" w14:textId="77777777" w:rsidR="00D361E3" w:rsidRDefault="00D361E3" w:rsidP="00362C2A">
      <w:pPr>
        <w:spacing w:line="360" w:lineRule="auto"/>
        <w:ind w:left="567" w:hanging="283"/>
      </w:pPr>
      <w:r>
        <w:t xml:space="preserve">Character 117: 2 → 3 </w:t>
      </w:r>
    </w:p>
    <w:p w14:paraId="15F6484B" w14:textId="77777777" w:rsidR="00D361E3" w:rsidRDefault="00D361E3" w:rsidP="00362C2A">
      <w:pPr>
        <w:spacing w:line="360" w:lineRule="auto"/>
        <w:ind w:left="567" w:hanging="283"/>
      </w:pPr>
      <w:r>
        <w:t xml:space="preserve">Character 171: 1 → 2 </w:t>
      </w:r>
    </w:p>
    <w:p w14:paraId="24402370" w14:textId="77777777" w:rsidR="00D361E3" w:rsidRDefault="00D361E3" w:rsidP="00362C2A">
      <w:pPr>
        <w:spacing w:line="360" w:lineRule="auto"/>
        <w:ind w:left="567" w:hanging="283"/>
      </w:pPr>
      <w:r>
        <w:t xml:space="preserve">Character 184: 0 → 1 </w:t>
      </w:r>
    </w:p>
    <w:p w14:paraId="4B9C5063" w14:textId="77777777" w:rsidR="00D361E3" w:rsidRDefault="00D361E3" w:rsidP="00362C2A">
      <w:pPr>
        <w:spacing w:line="360" w:lineRule="auto"/>
        <w:ind w:left="567" w:hanging="283"/>
      </w:pPr>
      <w:r>
        <w:t xml:space="preserve">Character 193: 0 → 1 </w:t>
      </w:r>
    </w:p>
    <w:p w14:paraId="46C4B17E" w14:textId="77777777" w:rsidR="00D361E3" w:rsidRDefault="00D361E3" w:rsidP="00362C2A">
      <w:pPr>
        <w:spacing w:line="360" w:lineRule="auto"/>
        <w:ind w:left="567" w:hanging="283"/>
      </w:pPr>
      <w:r>
        <w:t xml:space="preserve">Character 208: 0 → 1 </w:t>
      </w:r>
    </w:p>
    <w:p w14:paraId="02DA0C37" w14:textId="77777777" w:rsidR="00D361E3" w:rsidRDefault="00D361E3" w:rsidP="00362C2A">
      <w:pPr>
        <w:spacing w:line="360" w:lineRule="auto"/>
        <w:ind w:left="567" w:hanging="283"/>
      </w:pPr>
      <w:r>
        <w:t xml:space="preserve">Character 239: 0 → 1 </w:t>
      </w:r>
    </w:p>
    <w:p w14:paraId="02133A81" w14:textId="77777777" w:rsidR="00D361E3" w:rsidRDefault="00D361E3" w:rsidP="00362C2A">
      <w:pPr>
        <w:spacing w:line="360" w:lineRule="auto"/>
        <w:ind w:left="567" w:hanging="283"/>
      </w:pPr>
      <w:r>
        <w:t xml:space="preserve">Character 258: 0 → 1 </w:t>
      </w:r>
    </w:p>
    <w:p w14:paraId="36B813E6" w14:textId="77777777" w:rsidR="00D361E3" w:rsidRDefault="00D361E3" w:rsidP="00362C2A">
      <w:pPr>
        <w:spacing w:line="360" w:lineRule="auto"/>
        <w:ind w:left="567" w:hanging="283"/>
        <w:rPr>
          <w:b/>
        </w:rPr>
      </w:pPr>
      <w:r>
        <w:t>Character 275: 1 → 0</w:t>
      </w:r>
    </w:p>
    <w:p w14:paraId="4EE02F66" w14:textId="77777777" w:rsidR="00D361E3" w:rsidRDefault="00D361E3" w:rsidP="00950278"/>
    <w:p w14:paraId="09872DE1" w14:textId="77777777" w:rsidR="00D361E3" w:rsidRDefault="00D361E3">
      <w:pPr>
        <w:rPr>
          <w:rFonts w:ascii="Calibri" w:hAnsi="Calibri"/>
          <w:b/>
          <w:bCs/>
          <w:caps/>
          <w:sz w:val="26"/>
          <w:szCs w:val="26"/>
        </w:rPr>
      </w:pPr>
    </w:p>
    <w:p w14:paraId="21F7D1B4" w14:textId="77777777" w:rsidR="00D361E3" w:rsidRDefault="00D361E3">
      <w:pPr>
        <w:rPr>
          <w:rFonts w:ascii="Calibri" w:hAnsi="Calibri"/>
          <w:b/>
          <w:bCs/>
          <w:caps/>
          <w:sz w:val="26"/>
          <w:szCs w:val="26"/>
        </w:rPr>
      </w:pPr>
      <w:r>
        <w:br w:type="page"/>
      </w:r>
    </w:p>
    <w:p w14:paraId="3B34AC60" w14:textId="77777777" w:rsidR="00D361E3" w:rsidRDefault="00D361E3" w:rsidP="00683E51">
      <w:pPr>
        <w:pStyle w:val="Heading1"/>
        <w:spacing w:line="360" w:lineRule="auto"/>
      </w:pPr>
      <w:bookmarkStart w:id="8" w:name="_Toc400287921"/>
      <w:r>
        <w:t>7. Sources for taxon age ranges depicted in Figure 28</w:t>
      </w:r>
      <w:bookmarkEnd w:id="8"/>
    </w:p>
    <w:p w14:paraId="6EC5AB60" w14:textId="77777777" w:rsidR="00D361E3" w:rsidRPr="00120318" w:rsidRDefault="00D361E3" w:rsidP="00120318">
      <w:pPr>
        <w:pStyle w:val="ListParagraph"/>
        <w:numPr>
          <w:ilvl w:val="0"/>
          <w:numId w:val="1"/>
        </w:numPr>
        <w:spacing w:line="360" w:lineRule="auto"/>
        <w:ind w:left="284" w:hanging="284"/>
        <w:rPr>
          <w:rFonts w:cs="Times New Roman"/>
        </w:rPr>
      </w:pPr>
      <w:r w:rsidRPr="00E55B87">
        <w:rPr>
          <w:rFonts w:cs="Times New Roman"/>
          <w:i/>
        </w:rPr>
        <w:t>Anabisetia</w:t>
      </w:r>
      <w:r w:rsidRPr="00E55B87">
        <w:rPr>
          <w:rFonts w:cs="Times New Roman"/>
        </w:rPr>
        <w:t xml:space="preserve"> </w:t>
      </w:r>
      <w:r w:rsidRPr="00E55B87">
        <w:rPr>
          <w:rFonts w:cs="Times New Roman"/>
          <w:noProof/>
        </w:rPr>
        <w:t>(</w:t>
      </w:r>
      <w:r w:rsidRPr="00215FA7">
        <w:rPr>
          <w:rFonts w:cs="Times New Roman"/>
          <w:noProof/>
        </w:rPr>
        <w:t>Coria and Calvo, 2002</w:t>
      </w:r>
      <w:r w:rsidRPr="00E55B87">
        <w:rPr>
          <w:rFonts w:cs="Times New Roman"/>
          <w:noProof/>
        </w:rPr>
        <w:t>)</w:t>
      </w:r>
      <w:r w:rsidRPr="00E55B87">
        <w:rPr>
          <w:rFonts w:cs="Times New Roman"/>
        </w:rPr>
        <w:t xml:space="preserve">: Cerro </w:t>
      </w:r>
      <w:r w:rsidRPr="00E55B87">
        <w:t xml:space="preserve">Lisandro Formation, Rio Limay Subgroup, </w:t>
      </w:r>
      <w:r w:rsidRPr="00E55B87">
        <w:rPr>
          <w:rFonts w:eastAsia="Times New Roman" w:cs="Times New Roman"/>
        </w:rPr>
        <w:t>Neuquén</w:t>
      </w:r>
      <w:r w:rsidRPr="00E55B87">
        <w:t xml:space="preserve"> Group </w:t>
      </w:r>
      <w:r w:rsidRPr="00E55B87">
        <w:rPr>
          <w:noProof/>
        </w:rPr>
        <w:t>(</w:t>
      </w:r>
      <w:r w:rsidRPr="00215FA7">
        <w:rPr>
          <w:noProof/>
        </w:rPr>
        <w:t>Leanza et al., 2004</w:t>
      </w:r>
      <w:r w:rsidRPr="00E55B87">
        <w:rPr>
          <w:noProof/>
        </w:rPr>
        <w:t>)</w:t>
      </w:r>
      <w:r w:rsidRPr="00E55B87">
        <w:t>: late Cenomanian–early Turonian</w:t>
      </w:r>
      <w:r w:rsidRPr="00120318">
        <w:t xml:space="preserve">, Late Cretaceous </w:t>
      </w:r>
      <w:r w:rsidRPr="00E55B87">
        <w:rPr>
          <w:noProof/>
        </w:rPr>
        <w:t>(</w:t>
      </w:r>
      <w:r w:rsidRPr="00215FA7">
        <w:rPr>
          <w:noProof/>
        </w:rPr>
        <w:t>Leanza et al., 2004</w:t>
      </w:r>
      <w:r w:rsidRPr="00E55B87">
        <w:rPr>
          <w:noProof/>
        </w:rPr>
        <w:t>)</w:t>
      </w:r>
      <w:r w:rsidRPr="00E55B87">
        <w:t>.</w:t>
      </w:r>
    </w:p>
    <w:p w14:paraId="304C6D2C" w14:textId="77777777" w:rsidR="00D361E3" w:rsidRPr="00120318" w:rsidRDefault="00D361E3" w:rsidP="00120318">
      <w:pPr>
        <w:pStyle w:val="ListParagraph"/>
        <w:numPr>
          <w:ilvl w:val="0"/>
          <w:numId w:val="1"/>
        </w:numPr>
        <w:spacing w:line="360" w:lineRule="auto"/>
        <w:ind w:left="284" w:hanging="284"/>
        <w:rPr>
          <w:rFonts w:cs="Times New Roman"/>
        </w:rPr>
      </w:pPr>
      <w:r w:rsidRPr="00120318">
        <w:rPr>
          <w:rFonts w:cs="Times New Roman"/>
          <w:i/>
        </w:rPr>
        <w:t>Camptosaurus</w:t>
      </w:r>
      <w:r w:rsidRPr="00120318">
        <w:rPr>
          <w:rFonts w:cs="Times New Roman"/>
        </w:rPr>
        <w:t xml:space="preserve"> </w:t>
      </w:r>
      <w:r w:rsidRPr="00120318">
        <w:rPr>
          <w:rFonts w:cs="Times New Roman"/>
          <w:noProof/>
        </w:rPr>
        <w:t>(</w:t>
      </w:r>
      <w:r w:rsidRPr="00215FA7">
        <w:rPr>
          <w:rFonts w:cs="Times New Roman"/>
          <w:noProof/>
        </w:rPr>
        <w:t>Marsh, 1879</w:t>
      </w:r>
      <w:r w:rsidRPr="00120318">
        <w:rPr>
          <w:rFonts w:cs="Times New Roman"/>
          <w:noProof/>
        </w:rPr>
        <w:t xml:space="preserve">; </w:t>
      </w:r>
      <w:r w:rsidRPr="00215FA7">
        <w:rPr>
          <w:rFonts w:cs="Times New Roman"/>
          <w:noProof/>
        </w:rPr>
        <w:t>Marsh, 1885</w:t>
      </w:r>
      <w:r w:rsidRPr="00120318">
        <w:rPr>
          <w:rFonts w:cs="Times New Roman"/>
          <w:noProof/>
        </w:rPr>
        <w:t>)</w:t>
      </w:r>
      <w:r w:rsidRPr="00120318">
        <w:rPr>
          <w:rFonts w:cs="Times New Roman"/>
        </w:rPr>
        <w:t xml:space="preserve">: From ‘Dinosaur Zones 2–3’ </w:t>
      </w:r>
      <w:r w:rsidRPr="00120318">
        <w:rPr>
          <w:rFonts w:cs="Times New Roman"/>
          <w:noProof/>
        </w:rPr>
        <w:t>(</w:t>
      </w:r>
      <w:r w:rsidRPr="00215FA7">
        <w:rPr>
          <w:rFonts w:cs="Times New Roman"/>
          <w:noProof/>
        </w:rPr>
        <w:t>Turner and Peterson, 1999</w:t>
      </w:r>
      <w:r w:rsidRPr="00120318">
        <w:rPr>
          <w:rFonts w:cs="Times New Roman"/>
          <w:noProof/>
        </w:rPr>
        <w:t>)</w:t>
      </w:r>
      <w:r w:rsidRPr="00120318">
        <w:rPr>
          <w:rFonts w:cs="Times New Roman"/>
        </w:rPr>
        <w:t xml:space="preserve">, Salt Wash and Brushy Basin Members, Morrison Formation: </w:t>
      </w:r>
      <w:r w:rsidRPr="00E55B87">
        <w:rPr>
          <w:rFonts w:cs="Times New Roman"/>
        </w:rPr>
        <w:t>middle Kimmeridgian–earliest Tithonian</w:t>
      </w:r>
      <w:r w:rsidRPr="00120318">
        <w:rPr>
          <w:rFonts w:cs="Times New Roman"/>
        </w:rPr>
        <w:t xml:space="preserve">, Late Jurassic </w:t>
      </w:r>
      <w:r w:rsidRPr="00120318">
        <w:rPr>
          <w:rFonts w:cs="Times New Roman"/>
          <w:noProof/>
        </w:rPr>
        <w:t>(</w:t>
      </w:r>
      <w:r w:rsidRPr="00215FA7">
        <w:rPr>
          <w:rFonts w:cs="Times New Roman"/>
          <w:noProof/>
        </w:rPr>
        <w:t>Turner and Peterson, 1999</w:t>
      </w:r>
      <w:r w:rsidRPr="00120318">
        <w:rPr>
          <w:rFonts w:cs="Times New Roman"/>
          <w:noProof/>
        </w:rPr>
        <w:t>)</w:t>
      </w:r>
      <w:r>
        <w:rPr>
          <w:rFonts w:cs="Times New Roman"/>
        </w:rPr>
        <w:t>.</w:t>
      </w:r>
    </w:p>
    <w:p w14:paraId="7F050F04" w14:textId="77777777" w:rsidR="00D361E3" w:rsidRDefault="00D361E3" w:rsidP="00120318">
      <w:pPr>
        <w:pStyle w:val="ListParagraph"/>
        <w:numPr>
          <w:ilvl w:val="0"/>
          <w:numId w:val="1"/>
        </w:numPr>
        <w:spacing w:line="360" w:lineRule="auto"/>
        <w:ind w:left="284" w:hanging="284"/>
        <w:rPr>
          <w:rFonts w:cs="Times New Roman"/>
        </w:rPr>
      </w:pPr>
      <w:r w:rsidRPr="00120318">
        <w:rPr>
          <w:rFonts w:cs="Times New Roman"/>
          <w:i/>
        </w:rPr>
        <w:t>Diluvicursor</w:t>
      </w:r>
      <w:r w:rsidRPr="00120318">
        <w:rPr>
          <w:rFonts w:cs="Times New Roman"/>
        </w:rPr>
        <w:t xml:space="preserve"> </w:t>
      </w:r>
      <w:r w:rsidRPr="00120318">
        <w:rPr>
          <w:rFonts w:cs="Times New Roman"/>
          <w:noProof/>
        </w:rPr>
        <w:t>(</w:t>
      </w:r>
      <w:r w:rsidRPr="00215FA7">
        <w:rPr>
          <w:rFonts w:cs="Times New Roman"/>
          <w:noProof/>
        </w:rPr>
        <w:t>Herne et al., 2018</w:t>
      </w:r>
      <w:r w:rsidRPr="00120318">
        <w:rPr>
          <w:rFonts w:cs="Times New Roman"/>
          <w:noProof/>
        </w:rPr>
        <w:t>)</w:t>
      </w:r>
      <w:r w:rsidRPr="00120318">
        <w:rPr>
          <w:rFonts w:cs="Times New Roman"/>
        </w:rPr>
        <w:t xml:space="preserve">: </w:t>
      </w:r>
      <w:r w:rsidRPr="00120318">
        <w:t xml:space="preserve">Eumeralla Formation, Otway Group: </w:t>
      </w:r>
      <w:r w:rsidRPr="00E55B87">
        <w:t>early</w:t>
      </w:r>
      <w:r w:rsidRPr="00120318">
        <w:t xml:space="preserve"> </w:t>
      </w:r>
      <w:r w:rsidRPr="00E55B87">
        <w:t>Albian</w:t>
      </w:r>
      <w:r w:rsidRPr="00120318">
        <w:t xml:space="preserve"> </w:t>
      </w:r>
      <w:r w:rsidRPr="00120318">
        <w:rPr>
          <w:rFonts w:cs="Times New Roman"/>
          <w:noProof/>
        </w:rPr>
        <w:t>(</w:t>
      </w:r>
      <w:r w:rsidRPr="00215FA7">
        <w:rPr>
          <w:rFonts w:cs="Times New Roman"/>
          <w:noProof/>
        </w:rPr>
        <w:t>Herne et al., 2018</w:t>
      </w:r>
      <w:r w:rsidRPr="00120318">
        <w:rPr>
          <w:rFonts w:cs="Times New Roman"/>
          <w:noProof/>
        </w:rPr>
        <w:t>)</w:t>
      </w:r>
      <w:r>
        <w:rPr>
          <w:rFonts w:cs="Times New Roman"/>
        </w:rPr>
        <w:t>.</w:t>
      </w:r>
    </w:p>
    <w:p w14:paraId="001E0B16" w14:textId="77777777" w:rsidR="00D361E3" w:rsidRPr="00120318" w:rsidRDefault="00D361E3" w:rsidP="00120318">
      <w:pPr>
        <w:pStyle w:val="ListParagraph"/>
        <w:numPr>
          <w:ilvl w:val="0"/>
          <w:numId w:val="1"/>
        </w:numPr>
        <w:spacing w:line="360" w:lineRule="auto"/>
        <w:ind w:left="284" w:hanging="284"/>
        <w:rPr>
          <w:rFonts w:cs="Times New Roman"/>
        </w:rPr>
      </w:pPr>
      <w:r w:rsidRPr="00120318">
        <w:rPr>
          <w:rFonts w:cs="Times New Roman"/>
        </w:rPr>
        <w:t xml:space="preserve">Dryosauridae </w:t>
      </w:r>
      <w:r w:rsidRPr="00120318">
        <w:rPr>
          <w:rFonts w:cs="Times New Roman"/>
          <w:noProof/>
        </w:rPr>
        <w:t>(</w:t>
      </w:r>
      <w:r w:rsidRPr="00215FA7">
        <w:rPr>
          <w:rFonts w:cs="Times New Roman"/>
          <w:noProof/>
        </w:rPr>
        <w:t>Milner and Norman, 1984</w:t>
      </w:r>
      <w:r w:rsidRPr="00120318">
        <w:rPr>
          <w:rFonts w:cs="Times New Roman"/>
          <w:noProof/>
        </w:rPr>
        <w:t>)</w:t>
      </w:r>
      <w:r w:rsidRPr="00120318">
        <w:rPr>
          <w:rFonts w:cs="Times New Roman"/>
        </w:rPr>
        <w:t xml:space="preserve">: The oldest record of a dryosaurid is </w:t>
      </w:r>
      <w:r w:rsidRPr="00E55B87">
        <w:rPr>
          <w:rFonts w:cs="Times New Roman"/>
          <w:i/>
        </w:rPr>
        <w:t>Callovosaurus leedsi</w:t>
      </w:r>
      <w:r w:rsidRPr="00E55B87">
        <w:rPr>
          <w:rFonts w:cs="Times New Roman"/>
        </w:rPr>
        <w:t xml:space="preserve"> </w:t>
      </w:r>
      <w:r w:rsidRPr="00E55B87">
        <w:rPr>
          <w:rFonts w:cs="Times New Roman"/>
          <w:noProof/>
        </w:rPr>
        <w:t>(</w:t>
      </w:r>
      <w:r w:rsidRPr="00215FA7">
        <w:rPr>
          <w:rFonts w:cs="Times New Roman"/>
          <w:noProof/>
        </w:rPr>
        <w:t xml:space="preserve">Ruiz-Omeñaca et al., 2006; but see Gilmore, 1909 for an earlier assignment to </w:t>
      </w:r>
      <w:r w:rsidRPr="00215FA7">
        <w:rPr>
          <w:rFonts w:cs="Times New Roman"/>
          <w:i/>
          <w:noProof/>
        </w:rPr>
        <w:t>Dryosaurus</w:t>
      </w:r>
      <w:r w:rsidRPr="00E55B87">
        <w:rPr>
          <w:rFonts w:cs="Times New Roman"/>
          <w:noProof/>
        </w:rPr>
        <w:t>)</w:t>
      </w:r>
      <w:r w:rsidRPr="00E55B87">
        <w:rPr>
          <w:rFonts w:cs="Times New Roman"/>
        </w:rPr>
        <w:t>, from the lower Oxford Clay of the Peterborough Member, Oxford Clay Formation, considered to be middle Callovian</w:t>
      </w:r>
      <w:r w:rsidRPr="00120318">
        <w:rPr>
          <w:rFonts w:cs="Times New Roman"/>
        </w:rPr>
        <w:t xml:space="preserve"> in age </w:t>
      </w:r>
      <w:r w:rsidRPr="00E55B87">
        <w:rPr>
          <w:rFonts w:cs="Times New Roman"/>
          <w:noProof/>
        </w:rPr>
        <w:t>(</w:t>
      </w:r>
      <w:r w:rsidRPr="00215FA7">
        <w:rPr>
          <w:rFonts w:cs="Times New Roman"/>
          <w:noProof/>
        </w:rPr>
        <w:t>Ruiz-Omeñaca et al., 2006</w:t>
      </w:r>
      <w:r w:rsidRPr="00E55B87">
        <w:rPr>
          <w:rFonts w:cs="Times New Roman"/>
          <w:noProof/>
        </w:rPr>
        <w:t>)</w:t>
      </w:r>
      <w:r w:rsidRPr="00E55B87">
        <w:rPr>
          <w:rFonts w:cs="Times New Roman"/>
        </w:rPr>
        <w:t>. The youngest rec</w:t>
      </w:r>
      <w:r>
        <w:rPr>
          <w:rFonts w:cs="Times New Roman"/>
        </w:rPr>
        <w:t xml:space="preserve">ord of a dryosaurid is an ilium, CD529 </w:t>
      </w:r>
      <w:r w:rsidRPr="00E55B87">
        <w:rPr>
          <w:rFonts w:cs="Times New Roman"/>
        </w:rPr>
        <w:t>from New Zealand</w:t>
      </w:r>
      <w:r>
        <w:rPr>
          <w:rFonts w:cs="Times New Roman"/>
        </w:rPr>
        <w:t xml:space="preserve"> </w:t>
      </w:r>
      <w:r>
        <w:rPr>
          <w:rFonts w:cs="Times New Roman"/>
          <w:noProof/>
        </w:rPr>
        <w:t>(</w:t>
      </w:r>
      <w:r w:rsidRPr="00215FA7">
        <w:rPr>
          <w:rFonts w:cs="Times New Roman"/>
          <w:noProof/>
        </w:rPr>
        <w:t>Wiffen and Molnar, 1989</w:t>
      </w:r>
      <w:r>
        <w:rPr>
          <w:rFonts w:cs="Times New Roman"/>
          <w:noProof/>
        </w:rPr>
        <w:t>)</w:t>
      </w:r>
      <w:r w:rsidRPr="00E55B87">
        <w:rPr>
          <w:rFonts w:cs="Times New Roman"/>
        </w:rPr>
        <w:t xml:space="preserve">, found in the Maungataniwha Sandstone Member, Tahora Formation </w:t>
      </w:r>
      <w:r w:rsidRPr="00120318">
        <w:rPr>
          <w:rFonts w:cs="Times New Roman"/>
          <w:noProof/>
        </w:rPr>
        <w:t>(</w:t>
      </w:r>
      <w:r w:rsidRPr="00215FA7">
        <w:rPr>
          <w:rFonts w:cs="Times New Roman"/>
          <w:noProof/>
        </w:rPr>
        <w:t>Crampton and Moore, 1990</w:t>
      </w:r>
      <w:r w:rsidRPr="00120318">
        <w:rPr>
          <w:rFonts w:cs="Times New Roman"/>
          <w:noProof/>
        </w:rPr>
        <w:t>)</w:t>
      </w:r>
      <w:r w:rsidRPr="00120318">
        <w:rPr>
          <w:rFonts w:cs="Times New Roman"/>
        </w:rPr>
        <w:t xml:space="preserve">, </w:t>
      </w:r>
      <w:r>
        <w:rPr>
          <w:rFonts w:cs="Times New Roman"/>
        </w:rPr>
        <w:t xml:space="preserve">and presently </w:t>
      </w:r>
      <w:r w:rsidRPr="00120318">
        <w:rPr>
          <w:rFonts w:cs="Times New Roman"/>
        </w:rPr>
        <w:t xml:space="preserve">considered to be of </w:t>
      </w:r>
      <w:r w:rsidRPr="00E55B87">
        <w:rPr>
          <w:rFonts w:cs="Times New Roman"/>
        </w:rPr>
        <w:t>middle</w:t>
      </w:r>
      <w:r w:rsidRPr="00120318">
        <w:rPr>
          <w:rFonts w:cs="Times New Roman"/>
        </w:rPr>
        <w:t xml:space="preserve"> </w:t>
      </w:r>
      <w:r w:rsidRPr="00E55B87">
        <w:rPr>
          <w:rFonts w:cs="Times New Roman"/>
        </w:rPr>
        <w:t xml:space="preserve">Campanian </w:t>
      </w:r>
      <w:r w:rsidRPr="00120318">
        <w:rPr>
          <w:rFonts w:cs="Times New Roman"/>
        </w:rPr>
        <w:t xml:space="preserve">age </w:t>
      </w:r>
      <w:r w:rsidRPr="00120318">
        <w:rPr>
          <w:rFonts w:cs="Times New Roman"/>
          <w:noProof/>
        </w:rPr>
        <w:t>(</w:t>
      </w:r>
      <w:r w:rsidRPr="00215FA7">
        <w:rPr>
          <w:rFonts w:cs="Times New Roman"/>
          <w:noProof/>
        </w:rPr>
        <w:t>Vajda and Raine, 2010</w:t>
      </w:r>
      <w:r w:rsidRPr="00120318">
        <w:rPr>
          <w:rFonts w:cs="Times New Roman"/>
          <w:noProof/>
        </w:rPr>
        <w:t>)</w:t>
      </w:r>
      <w:r w:rsidRPr="00120318">
        <w:rPr>
          <w:rFonts w:cs="Times New Roman"/>
        </w:rPr>
        <w:t xml:space="preserve">. Although </w:t>
      </w:r>
      <w:r w:rsidRPr="00120318">
        <w:rPr>
          <w:rFonts w:cs="Times New Roman"/>
          <w:i/>
        </w:rPr>
        <w:t>Kangnasaurus</w:t>
      </w:r>
      <w:r w:rsidRPr="00120318">
        <w:rPr>
          <w:rFonts w:cs="Times New Roman"/>
        </w:rPr>
        <w:t xml:space="preserve"> </w:t>
      </w:r>
      <w:r w:rsidRPr="00120318">
        <w:rPr>
          <w:rFonts w:cs="Times New Roman"/>
          <w:i/>
        </w:rPr>
        <w:t>coetzeei</w:t>
      </w:r>
      <w:r w:rsidRPr="00120318">
        <w:rPr>
          <w:rFonts w:cs="Times New Roman"/>
        </w:rPr>
        <w:t xml:space="preserve"> </w:t>
      </w:r>
      <w:r w:rsidRPr="00120318">
        <w:rPr>
          <w:rFonts w:cs="Times New Roman"/>
          <w:noProof/>
        </w:rPr>
        <w:t>(</w:t>
      </w:r>
      <w:r w:rsidRPr="00215FA7">
        <w:rPr>
          <w:rFonts w:cs="Times New Roman"/>
          <w:noProof/>
        </w:rPr>
        <w:t>Haughton, 1915</w:t>
      </w:r>
      <w:r w:rsidRPr="00120318">
        <w:rPr>
          <w:rFonts w:cs="Times New Roman"/>
          <w:noProof/>
        </w:rPr>
        <w:t xml:space="preserve">; </w:t>
      </w:r>
      <w:r w:rsidRPr="00215FA7">
        <w:rPr>
          <w:rFonts w:cs="Times New Roman"/>
          <w:noProof/>
        </w:rPr>
        <w:t>Rogers, 1915</w:t>
      </w:r>
      <w:r w:rsidRPr="00120318">
        <w:rPr>
          <w:rFonts w:cs="Times New Roman"/>
          <w:noProof/>
        </w:rPr>
        <w:t>)</w:t>
      </w:r>
      <w:r w:rsidRPr="00120318">
        <w:rPr>
          <w:rFonts w:cs="Times New Roman"/>
        </w:rPr>
        <w:t xml:space="preserve"> is sometimes considered to be a dryosaurid </w:t>
      </w:r>
      <w:r>
        <w:rPr>
          <w:rFonts w:cs="Times New Roman"/>
          <w:noProof/>
        </w:rPr>
        <w:t xml:space="preserve">(e.g., </w:t>
      </w:r>
      <w:r w:rsidRPr="00215FA7">
        <w:rPr>
          <w:rFonts w:cs="Times New Roman"/>
          <w:noProof/>
        </w:rPr>
        <w:t>Cooper, 1985 [as a 'dryosaurine']</w:t>
      </w:r>
      <w:r>
        <w:rPr>
          <w:rFonts w:cs="Times New Roman"/>
          <w:noProof/>
        </w:rPr>
        <w:t xml:space="preserve">; </w:t>
      </w:r>
      <w:r w:rsidRPr="00215FA7">
        <w:rPr>
          <w:rFonts w:cs="Times New Roman"/>
          <w:noProof/>
        </w:rPr>
        <w:t>Barrett et al., 2011</w:t>
      </w:r>
      <w:r>
        <w:rPr>
          <w:rFonts w:cs="Times New Roman"/>
          <w:noProof/>
        </w:rPr>
        <w:t>)</w:t>
      </w:r>
      <w:r w:rsidRPr="00120318">
        <w:rPr>
          <w:rFonts w:cs="Times New Roman"/>
        </w:rPr>
        <w:t xml:space="preserve">, the precise age of its type locality is unknown beyond being of Late Cretaceous age </w:t>
      </w:r>
      <w:r w:rsidRPr="00E55B87">
        <w:rPr>
          <w:rFonts w:cs="Times New Roman"/>
          <w:noProof/>
        </w:rPr>
        <w:t>(</w:t>
      </w:r>
      <w:r w:rsidRPr="00215FA7">
        <w:rPr>
          <w:rFonts w:cs="Times New Roman"/>
          <w:noProof/>
        </w:rPr>
        <w:t>de Wit et al., 1992</w:t>
      </w:r>
      <w:r w:rsidRPr="00E55B87">
        <w:rPr>
          <w:rFonts w:cs="Times New Roman"/>
          <w:noProof/>
        </w:rPr>
        <w:t>)</w:t>
      </w:r>
      <w:r>
        <w:rPr>
          <w:rFonts w:cs="Times New Roman"/>
        </w:rPr>
        <w:t>.</w:t>
      </w:r>
    </w:p>
    <w:p w14:paraId="1B9BFD92" w14:textId="77777777" w:rsidR="00D361E3" w:rsidRPr="00120318" w:rsidRDefault="00D361E3" w:rsidP="00120318">
      <w:pPr>
        <w:pStyle w:val="ListParagraph"/>
        <w:numPr>
          <w:ilvl w:val="0"/>
          <w:numId w:val="1"/>
        </w:numPr>
        <w:spacing w:line="360" w:lineRule="auto"/>
        <w:ind w:left="284" w:hanging="284"/>
        <w:rPr>
          <w:rFonts w:cs="Times New Roman"/>
        </w:rPr>
      </w:pPr>
      <w:r w:rsidRPr="00120318">
        <w:rPr>
          <w:rFonts w:cs="Times New Roman"/>
          <w:i/>
        </w:rPr>
        <w:t>Galleonosaurus</w:t>
      </w:r>
      <w:r w:rsidRPr="00120318">
        <w:rPr>
          <w:rFonts w:cs="Times New Roman"/>
        </w:rPr>
        <w:t xml:space="preserve"> n. gen.: </w:t>
      </w:r>
      <w:r w:rsidRPr="00120318">
        <w:t xml:space="preserve">Wonthaggi Formation, upper </w:t>
      </w:r>
      <w:r w:rsidRPr="00E55B87">
        <w:t>Strzelecki Group: late Barremian</w:t>
      </w:r>
      <w:r w:rsidRPr="00120318">
        <w:t xml:space="preserve"> (this work).</w:t>
      </w:r>
    </w:p>
    <w:p w14:paraId="4A5B94D2" w14:textId="77777777" w:rsidR="00D361E3" w:rsidRDefault="00D361E3" w:rsidP="00120318">
      <w:pPr>
        <w:pStyle w:val="ListParagraph"/>
        <w:numPr>
          <w:ilvl w:val="0"/>
          <w:numId w:val="1"/>
        </w:numPr>
        <w:spacing w:line="360" w:lineRule="auto"/>
        <w:ind w:left="284" w:hanging="284"/>
      </w:pPr>
      <w:r w:rsidRPr="00120318">
        <w:rPr>
          <w:i/>
        </w:rPr>
        <w:t>Gasparinisaura</w:t>
      </w:r>
      <w:r w:rsidRPr="00120318">
        <w:t xml:space="preserve"> </w:t>
      </w:r>
      <w:r w:rsidRPr="00120318">
        <w:rPr>
          <w:noProof/>
        </w:rPr>
        <w:t>(</w:t>
      </w:r>
      <w:r w:rsidRPr="00215FA7">
        <w:rPr>
          <w:noProof/>
        </w:rPr>
        <w:t>Coria and Salgado, 1996</w:t>
      </w:r>
      <w:r w:rsidRPr="00120318">
        <w:rPr>
          <w:noProof/>
        </w:rPr>
        <w:t>)</w:t>
      </w:r>
      <w:r w:rsidRPr="00120318">
        <w:t xml:space="preserve">: Anacelto Formation, Rio Colorado Subgroup, </w:t>
      </w:r>
      <w:r w:rsidRPr="00120318">
        <w:rPr>
          <w:rFonts w:eastAsia="Times New Roman" w:cs="Times New Roman"/>
        </w:rPr>
        <w:t>Neuquén</w:t>
      </w:r>
      <w:r w:rsidRPr="00120318">
        <w:t xml:space="preserve"> Group </w:t>
      </w:r>
      <w:r w:rsidRPr="00120318">
        <w:rPr>
          <w:noProof/>
        </w:rPr>
        <w:t>(</w:t>
      </w:r>
      <w:r w:rsidRPr="00215FA7">
        <w:rPr>
          <w:noProof/>
        </w:rPr>
        <w:t>Leanza et al., 2004</w:t>
      </w:r>
      <w:r w:rsidRPr="00120318">
        <w:rPr>
          <w:noProof/>
        </w:rPr>
        <w:t>)</w:t>
      </w:r>
      <w:r w:rsidRPr="00120318">
        <w:t xml:space="preserve">: early Campanian, Late Cretaceous </w:t>
      </w:r>
      <w:r w:rsidRPr="00120318">
        <w:rPr>
          <w:noProof/>
        </w:rPr>
        <w:t>(</w:t>
      </w:r>
      <w:r w:rsidRPr="00215FA7">
        <w:rPr>
          <w:noProof/>
        </w:rPr>
        <w:t>Leanza et al., 2004</w:t>
      </w:r>
      <w:r w:rsidRPr="00120318">
        <w:rPr>
          <w:noProof/>
        </w:rPr>
        <w:t>)</w:t>
      </w:r>
      <w:r w:rsidRPr="00120318">
        <w:t>.</w:t>
      </w:r>
    </w:p>
    <w:p w14:paraId="366908CB" w14:textId="77777777" w:rsidR="00D361E3" w:rsidRPr="00120318" w:rsidRDefault="00D361E3" w:rsidP="00120318">
      <w:pPr>
        <w:pStyle w:val="ListParagraph"/>
        <w:numPr>
          <w:ilvl w:val="0"/>
          <w:numId w:val="1"/>
        </w:numPr>
        <w:spacing w:line="360" w:lineRule="auto"/>
        <w:ind w:left="284" w:hanging="284"/>
        <w:rPr>
          <w:rFonts w:cs="Times New Roman"/>
        </w:rPr>
      </w:pPr>
      <w:r w:rsidRPr="00120318">
        <w:rPr>
          <w:rFonts w:cs="Times New Roman"/>
          <w:i/>
        </w:rPr>
        <w:t>Hypsilophodon</w:t>
      </w:r>
      <w:r w:rsidRPr="00120318">
        <w:rPr>
          <w:rFonts w:cs="Times New Roman"/>
        </w:rPr>
        <w:t xml:space="preserve"> </w:t>
      </w:r>
      <w:r w:rsidRPr="00120318">
        <w:rPr>
          <w:rFonts w:cs="Times New Roman"/>
          <w:noProof/>
        </w:rPr>
        <w:t>(</w:t>
      </w:r>
      <w:r w:rsidRPr="00215FA7">
        <w:rPr>
          <w:rFonts w:cs="Times New Roman"/>
          <w:noProof/>
        </w:rPr>
        <w:t>Huxley, 1870</w:t>
      </w:r>
      <w:r w:rsidRPr="00120318">
        <w:rPr>
          <w:rFonts w:cs="Times New Roman"/>
          <w:noProof/>
        </w:rPr>
        <w:t>)</w:t>
      </w:r>
      <w:r w:rsidRPr="00120318">
        <w:rPr>
          <w:rFonts w:cs="Times New Roman"/>
        </w:rPr>
        <w:t xml:space="preserve">: Wessex Formation, Wealden Group: </w:t>
      </w:r>
      <w:r w:rsidRPr="00E55B87">
        <w:rPr>
          <w:rFonts w:cs="Times New Roman"/>
        </w:rPr>
        <w:t>late Barremian</w:t>
      </w:r>
      <w:r w:rsidRPr="00120318">
        <w:rPr>
          <w:rFonts w:cs="Times New Roman"/>
        </w:rPr>
        <w:t xml:space="preserve">, Early Cretaceous </w:t>
      </w:r>
      <w:r w:rsidRPr="00120318">
        <w:rPr>
          <w:rFonts w:cs="Times New Roman"/>
          <w:noProof/>
        </w:rPr>
        <w:t>(</w:t>
      </w:r>
      <w:r w:rsidRPr="00215FA7">
        <w:rPr>
          <w:rFonts w:cs="Times New Roman"/>
          <w:noProof/>
        </w:rPr>
        <w:t>Galton, 2012</w:t>
      </w:r>
      <w:r w:rsidRPr="00120318">
        <w:rPr>
          <w:rFonts w:cs="Times New Roman"/>
          <w:noProof/>
        </w:rPr>
        <w:t>)</w:t>
      </w:r>
      <w:r>
        <w:rPr>
          <w:rFonts w:cs="Times New Roman"/>
        </w:rPr>
        <w:t>.</w:t>
      </w:r>
    </w:p>
    <w:p w14:paraId="768318AD" w14:textId="77777777" w:rsidR="00D361E3" w:rsidRPr="00120318" w:rsidRDefault="00D361E3" w:rsidP="00120318">
      <w:pPr>
        <w:pStyle w:val="ListParagraph"/>
        <w:numPr>
          <w:ilvl w:val="0"/>
          <w:numId w:val="1"/>
        </w:numPr>
        <w:spacing w:line="360" w:lineRule="auto"/>
        <w:ind w:left="284" w:hanging="284"/>
      </w:pPr>
      <w:r w:rsidRPr="00E55B87">
        <w:rPr>
          <w:rFonts w:cs="Times New Roman"/>
          <w:i/>
        </w:rPr>
        <w:t>Leaellynasaura</w:t>
      </w:r>
      <w:r w:rsidRPr="00E55B87">
        <w:rPr>
          <w:rFonts w:cs="Times New Roman"/>
        </w:rPr>
        <w:t xml:space="preserve"> </w:t>
      </w:r>
      <w:r w:rsidRPr="00E55B87">
        <w:rPr>
          <w:rFonts w:cs="Times New Roman"/>
          <w:noProof/>
        </w:rPr>
        <w:t>(</w:t>
      </w:r>
      <w:r w:rsidRPr="00215FA7">
        <w:rPr>
          <w:rFonts w:cs="Times New Roman"/>
          <w:noProof/>
        </w:rPr>
        <w:t>Rich and Rich, 1989</w:t>
      </w:r>
      <w:r w:rsidRPr="00E55B87">
        <w:rPr>
          <w:rFonts w:cs="Times New Roman"/>
          <w:noProof/>
        </w:rPr>
        <w:t>)</w:t>
      </w:r>
      <w:r w:rsidRPr="00120318">
        <w:rPr>
          <w:rFonts w:cs="Times New Roman"/>
        </w:rPr>
        <w:t xml:space="preserve">: </w:t>
      </w:r>
      <w:r w:rsidRPr="00E55B87">
        <w:t>Eumeralla Formation, Otway Group</w:t>
      </w:r>
      <w:r w:rsidRPr="00E55B87">
        <w:rPr>
          <w:rFonts w:cs="Times New Roman"/>
        </w:rPr>
        <w:t xml:space="preserve">: </w:t>
      </w:r>
      <w:r w:rsidRPr="00E55B87">
        <w:t>early Albian</w:t>
      </w:r>
      <w:r w:rsidRPr="00120318">
        <w:t xml:space="preserve"> </w:t>
      </w:r>
      <w:r w:rsidRPr="00120318">
        <w:rPr>
          <w:rFonts w:cs="Times New Roman"/>
          <w:noProof/>
        </w:rPr>
        <w:t>(</w:t>
      </w:r>
      <w:r w:rsidRPr="00215FA7">
        <w:rPr>
          <w:rFonts w:cs="Times New Roman"/>
          <w:noProof/>
        </w:rPr>
        <w:t>Korasidis et al., 2016</w:t>
      </w:r>
      <w:r w:rsidRPr="00120318">
        <w:rPr>
          <w:rFonts w:cs="Times New Roman"/>
          <w:noProof/>
        </w:rPr>
        <w:t xml:space="preserve">; </w:t>
      </w:r>
      <w:r w:rsidRPr="00215FA7">
        <w:rPr>
          <w:rFonts w:cs="Times New Roman"/>
          <w:noProof/>
        </w:rPr>
        <w:t>Herne et al., 2018</w:t>
      </w:r>
      <w:r w:rsidRPr="00120318">
        <w:rPr>
          <w:rFonts w:cs="Times New Roman"/>
          <w:noProof/>
        </w:rPr>
        <w:t>)</w:t>
      </w:r>
      <w:r w:rsidRPr="00120318">
        <w:rPr>
          <w:rFonts w:cs="Times New Roman"/>
        </w:rPr>
        <w:t>.</w:t>
      </w:r>
    </w:p>
    <w:p w14:paraId="1E56A940" w14:textId="77777777" w:rsidR="00D361E3" w:rsidRDefault="00D361E3" w:rsidP="00683E51">
      <w:pPr>
        <w:pStyle w:val="ListParagraph"/>
        <w:numPr>
          <w:ilvl w:val="0"/>
          <w:numId w:val="1"/>
        </w:numPr>
        <w:spacing w:line="360" w:lineRule="auto"/>
        <w:ind w:left="284" w:hanging="284"/>
        <w:rPr>
          <w:rFonts w:cs="Times New Roman"/>
        </w:rPr>
      </w:pPr>
      <w:r w:rsidRPr="00120318">
        <w:rPr>
          <w:rFonts w:cs="Times New Roman"/>
          <w:i/>
        </w:rPr>
        <w:t>Macrogryphosaurus</w:t>
      </w:r>
      <w:r w:rsidRPr="00120318">
        <w:rPr>
          <w:rFonts w:cs="Times New Roman"/>
        </w:rPr>
        <w:t xml:space="preserve"> </w:t>
      </w:r>
      <w:r w:rsidRPr="00120318">
        <w:rPr>
          <w:rFonts w:cs="Times New Roman"/>
          <w:noProof/>
        </w:rPr>
        <w:t>(</w:t>
      </w:r>
      <w:r w:rsidRPr="00215FA7">
        <w:rPr>
          <w:rFonts w:cs="Times New Roman"/>
          <w:noProof/>
        </w:rPr>
        <w:t>Calvo et al., 2007</w:t>
      </w:r>
      <w:r w:rsidRPr="00120318">
        <w:rPr>
          <w:rFonts w:cs="Times New Roman"/>
          <w:noProof/>
        </w:rPr>
        <w:t>)</w:t>
      </w:r>
      <w:r w:rsidRPr="00120318">
        <w:rPr>
          <w:rFonts w:cs="Times New Roman"/>
        </w:rPr>
        <w:t xml:space="preserve">: Portezuelo Formation, Rio </w:t>
      </w:r>
      <w:r w:rsidRPr="00120318">
        <w:rPr>
          <w:rFonts w:eastAsia="Times New Roman" w:cs="Times New Roman"/>
        </w:rPr>
        <w:t>Neuquén</w:t>
      </w:r>
      <w:r w:rsidRPr="00120318">
        <w:rPr>
          <w:rFonts w:cs="Times New Roman"/>
        </w:rPr>
        <w:t xml:space="preserve"> Subgroup, </w:t>
      </w:r>
      <w:r w:rsidRPr="00120318">
        <w:rPr>
          <w:rFonts w:eastAsia="Times New Roman" w:cs="Times New Roman"/>
        </w:rPr>
        <w:t>Neuquén</w:t>
      </w:r>
      <w:r w:rsidRPr="00120318">
        <w:rPr>
          <w:rFonts w:cs="Times New Roman"/>
        </w:rPr>
        <w:t xml:space="preserve"> Group </w:t>
      </w:r>
      <w:r w:rsidRPr="00120318">
        <w:rPr>
          <w:rFonts w:cs="Times New Roman"/>
          <w:noProof/>
        </w:rPr>
        <w:t>(</w:t>
      </w:r>
      <w:r w:rsidRPr="00215FA7">
        <w:rPr>
          <w:rFonts w:cs="Times New Roman"/>
          <w:noProof/>
        </w:rPr>
        <w:t>Leanza et al., 2004</w:t>
      </w:r>
      <w:r w:rsidRPr="00120318">
        <w:rPr>
          <w:rFonts w:cs="Times New Roman"/>
          <w:noProof/>
        </w:rPr>
        <w:t>)</w:t>
      </w:r>
      <w:r w:rsidRPr="00120318">
        <w:rPr>
          <w:rFonts w:cs="Times New Roman"/>
        </w:rPr>
        <w:t xml:space="preserve">: </w:t>
      </w:r>
      <w:r w:rsidRPr="00120318">
        <w:rPr>
          <w:rFonts w:cs="Times New Roman"/>
          <w:lang w:val="en-US"/>
        </w:rPr>
        <w:t>late Turonian</w:t>
      </w:r>
      <w:r w:rsidRPr="00120318">
        <w:rPr>
          <w:rFonts w:cs="Times New Roman"/>
          <w:bCs/>
          <w:lang w:val="en-US"/>
        </w:rPr>
        <w:t>–</w:t>
      </w:r>
      <w:r w:rsidRPr="00120318">
        <w:rPr>
          <w:rFonts w:cs="Times New Roman"/>
          <w:lang w:val="en-US"/>
        </w:rPr>
        <w:t>early Coniacian</w:t>
      </w:r>
      <w:r w:rsidRPr="00120318">
        <w:rPr>
          <w:rFonts w:cs="Times New Roman"/>
        </w:rPr>
        <w:t xml:space="preserve">, Late Cretaceous </w:t>
      </w:r>
      <w:r w:rsidRPr="00120318">
        <w:rPr>
          <w:rFonts w:cs="Times New Roman"/>
          <w:noProof/>
        </w:rPr>
        <w:t>(</w:t>
      </w:r>
      <w:r w:rsidRPr="00215FA7">
        <w:rPr>
          <w:rFonts w:cs="Times New Roman"/>
          <w:noProof/>
        </w:rPr>
        <w:t>Leanza et al., 2004</w:t>
      </w:r>
      <w:r w:rsidRPr="00120318">
        <w:rPr>
          <w:rFonts w:cs="Times New Roman"/>
          <w:noProof/>
        </w:rPr>
        <w:t>)</w:t>
      </w:r>
      <w:r w:rsidRPr="00120318">
        <w:rPr>
          <w:rFonts w:cs="Times New Roman"/>
        </w:rPr>
        <w:t>.</w:t>
      </w:r>
    </w:p>
    <w:p w14:paraId="7DA7AE39" w14:textId="77777777" w:rsidR="00D361E3" w:rsidRPr="00EC321A" w:rsidRDefault="00D361E3" w:rsidP="00683E51">
      <w:pPr>
        <w:pStyle w:val="ListParagraph"/>
        <w:numPr>
          <w:ilvl w:val="0"/>
          <w:numId w:val="1"/>
        </w:numPr>
        <w:spacing w:line="360" w:lineRule="auto"/>
        <w:ind w:left="284" w:hanging="284"/>
        <w:rPr>
          <w:rFonts w:cs="Times New Roman"/>
        </w:rPr>
      </w:pPr>
      <w:r w:rsidRPr="00EC321A">
        <w:rPr>
          <w:rFonts w:cs="Times New Roman"/>
          <w:i/>
        </w:rPr>
        <w:t>Muttaburrasaurus</w:t>
      </w:r>
      <w:r w:rsidRPr="00EC321A">
        <w:rPr>
          <w:rFonts w:cs="Times New Roman"/>
        </w:rPr>
        <w:t xml:space="preserve"> </w:t>
      </w:r>
      <w:r>
        <w:rPr>
          <w:rFonts w:cs="Times New Roman"/>
          <w:noProof/>
        </w:rPr>
        <w:t>(</w:t>
      </w:r>
      <w:r w:rsidRPr="00215FA7">
        <w:rPr>
          <w:rFonts w:cs="Times New Roman"/>
          <w:noProof/>
        </w:rPr>
        <w:t>Bartholomai and Molnar, 1981</w:t>
      </w:r>
      <w:r>
        <w:rPr>
          <w:rFonts w:cs="Times New Roman"/>
          <w:noProof/>
        </w:rPr>
        <w:t>)</w:t>
      </w:r>
      <w:r w:rsidRPr="00EC321A">
        <w:rPr>
          <w:rFonts w:cs="Times New Roman"/>
        </w:rPr>
        <w:t xml:space="preserve">: </w:t>
      </w:r>
      <w:r w:rsidRPr="00EC321A">
        <w:rPr>
          <w:rFonts w:eastAsia="Times New Roman" w:cs="Times New Roman"/>
        </w:rPr>
        <w:t xml:space="preserve">Mackunda Formation, Manuka Subgroup, Rolling Downs Group </w:t>
      </w:r>
      <w:r>
        <w:rPr>
          <w:rFonts w:eastAsia="Times New Roman" w:cs="Times New Roman"/>
          <w:noProof/>
        </w:rPr>
        <w:t>(</w:t>
      </w:r>
      <w:r w:rsidRPr="00215FA7">
        <w:rPr>
          <w:rFonts w:eastAsia="Times New Roman" w:cs="Times New Roman"/>
          <w:noProof/>
        </w:rPr>
        <w:t>QM F6140: Bartholomai and Molnar, 1981</w:t>
      </w:r>
      <w:r>
        <w:rPr>
          <w:rFonts w:eastAsia="Times New Roman" w:cs="Times New Roman"/>
          <w:noProof/>
        </w:rPr>
        <w:t>)</w:t>
      </w:r>
      <w:r w:rsidRPr="00EC321A">
        <w:rPr>
          <w:rFonts w:eastAsia="Times New Roman" w:cs="Times New Roman"/>
        </w:rPr>
        <w:t xml:space="preserve">: and </w:t>
      </w:r>
      <w:r w:rsidRPr="00EC321A">
        <w:rPr>
          <w:rFonts w:cs="Times New Roman"/>
        </w:rPr>
        <w:t xml:space="preserve">Allaru Mudstone, </w:t>
      </w:r>
      <w:r w:rsidRPr="00EC321A">
        <w:rPr>
          <w:rFonts w:eastAsia="Times New Roman" w:cs="Times New Roman"/>
        </w:rPr>
        <w:t>Wilgunyah Su</w:t>
      </w:r>
      <w:r>
        <w:rPr>
          <w:rFonts w:eastAsia="Times New Roman" w:cs="Times New Roman"/>
        </w:rPr>
        <w:t xml:space="preserve">bgroup, Rolling Downs Group </w:t>
      </w:r>
      <w:r>
        <w:rPr>
          <w:rFonts w:eastAsia="Times New Roman" w:cs="Times New Roman"/>
          <w:noProof/>
        </w:rPr>
        <w:t>(</w:t>
      </w:r>
      <w:r w:rsidRPr="00215FA7">
        <w:rPr>
          <w:rFonts w:eastAsia="Times New Roman" w:cs="Times New Roman"/>
          <w:noProof/>
        </w:rPr>
        <w:t>QM F14921: Molnar, 1996</w:t>
      </w:r>
      <w:r>
        <w:rPr>
          <w:rFonts w:eastAsia="Times New Roman" w:cs="Times New Roman"/>
          <w:noProof/>
        </w:rPr>
        <w:t>)</w:t>
      </w:r>
      <w:r w:rsidRPr="00EC321A">
        <w:rPr>
          <w:rFonts w:eastAsia="Times New Roman" w:cs="Times New Roman"/>
        </w:rPr>
        <w:t xml:space="preserve">: </w:t>
      </w:r>
      <w:r>
        <w:rPr>
          <w:rFonts w:eastAsia="Times New Roman" w:cs="Times New Roman"/>
        </w:rPr>
        <w:t>both formations are of late Albian age (Early Cretaceous).</w:t>
      </w:r>
    </w:p>
    <w:p w14:paraId="24D3C6D5" w14:textId="77777777" w:rsidR="00D361E3" w:rsidRDefault="00D361E3" w:rsidP="00120318">
      <w:pPr>
        <w:pStyle w:val="ListParagraph"/>
        <w:numPr>
          <w:ilvl w:val="0"/>
          <w:numId w:val="1"/>
        </w:numPr>
        <w:spacing w:line="360" w:lineRule="auto"/>
        <w:ind w:left="284" w:hanging="284"/>
        <w:rPr>
          <w:rFonts w:cs="Times New Roman"/>
        </w:rPr>
      </w:pPr>
      <w:r w:rsidRPr="00120318">
        <w:rPr>
          <w:rFonts w:cs="Times New Roman"/>
          <w:i/>
        </w:rPr>
        <w:t>Owenodon</w:t>
      </w:r>
      <w:r w:rsidRPr="00120318">
        <w:rPr>
          <w:rFonts w:cs="Times New Roman"/>
        </w:rPr>
        <w:t xml:space="preserve"> </w:t>
      </w:r>
      <w:r w:rsidRPr="00120318">
        <w:rPr>
          <w:rFonts w:cs="Times New Roman"/>
          <w:noProof/>
        </w:rPr>
        <w:t>(</w:t>
      </w:r>
      <w:r w:rsidRPr="00215FA7">
        <w:rPr>
          <w:rFonts w:cs="Times New Roman"/>
          <w:noProof/>
        </w:rPr>
        <w:t>Galton, 2009</w:t>
      </w:r>
      <w:r w:rsidRPr="00120318">
        <w:rPr>
          <w:rFonts w:cs="Times New Roman"/>
          <w:noProof/>
        </w:rPr>
        <w:t>)</w:t>
      </w:r>
      <w:r w:rsidRPr="00120318">
        <w:rPr>
          <w:rFonts w:cs="Times New Roman"/>
        </w:rPr>
        <w:t xml:space="preserve">: </w:t>
      </w:r>
      <w:r w:rsidRPr="00120318">
        <w:rPr>
          <w:rFonts w:cs="Times New Roman"/>
          <w:lang w:val="en-US"/>
        </w:rPr>
        <w:t xml:space="preserve">Durlston Formation, Purbeck Group (formerly the </w:t>
      </w:r>
      <w:r w:rsidRPr="00120318">
        <w:rPr>
          <w:rFonts w:eastAsia="Times New Roman" w:cs="Times New Roman"/>
          <w:bCs/>
        </w:rPr>
        <w:t xml:space="preserve">Purbeck Limestone Formation): </w:t>
      </w:r>
      <w:r w:rsidRPr="00E55B87">
        <w:rPr>
          <w:rFonts w:eastAsia="Times New Roman" w:cs="Times New Roman"/>
          <w:bCs/>
        </w:rPr>
        <w:t>middle Berriasian</w:t>
      </w:r>
      <w:r w:rsidRPr="00120318">
        <w:rPr>
          <w:rFonts w:eastAsia="Times New Roman" w:cs="Times New Roman"/>
          <w:bCs/>
        </w:rPr>
        <w:t>, Early Cretaceous</w:t>
      </w:r>
      <w:r w:rsidRPr="00120318">
        <w:rPr>
          <w:rFonts w:cs="Times New Roman"/>
        </w:rPr>
        <w:t xml:space="preserve"> </w:t>
      </w:r>
      <w:r w:rsidRPr="00120318">
        <w:rPr>
          <w:rFonts w:cs="Times New Roman"/>
          <w:noProof/>
        </w:rPr>
        <w:t>(</w:t>
      </w:r>
      <w:r w:rsidRPr="00215FA7">
        <w:rPr>
          <w:rFonts w:cs="Times New Roman"/>
          <w:noProof/>
        </w:rPr>
        <w:t>Galton, 2012</w:t>
      </w:r>
      <w:r w:rsidRPr="00120318">
        <w:rPr>
          <w:rFonts w:cs="Times New Roman"/>
          <w:noProof/>
        </w:rPr>
        <w:t xml:space="preserve">; </w:t>
      </w:r>
      <w:r w:rsidRPr="00215FA7">
        <w:rPr>
          <w:rFonts w:cs="Times New Roman"/>
          <w:noProof/>
        </w:rPr>
        <w:t>Norman, 2012</w:t>
      </w:r>
      <w:r w:rsidRPr="00E55B87">
        <w:rPr>
          <w:rFonts w:cs="Times New Roman"/>
          <w:noProof/>
        </w:rPr>
        <w:t>)</w:t>
      </w:r>
      <w:r w:rsidRPr="00E55B87">
        <w:rPr>
          <w:rFonts w:cs="Times New Roman"/>
        </w:rPr>
        <w:t>.</w:t>
      </w:r>
    </w:p>
    <w:p w14:paraId="6B7F923F" w14:textId="77777777" w:rsidR="00D361E3" w:rsidRPr="00120318" w:rsidRDefault="00D361E3" w:rsidP="00120318">
      <w:pPr>
        <w:pStyle w:val="ListParagraph"/>
        <w:numPr>
          <w:ilvl w:val="0"/>
          <w:numId w:val="1"/>
        </w:numPr>
        <w:spacing w:line="360" w:lineRule="auto"/>
        <w:ind w:left="284" w:hanging="284"/>
        <w:rPr>
          <w:rFonts w:cs="Times New Roman"/>
        </w:rPr>
      </w:pPr>
      <w:r w:rsidRPr="00120318">
        <w:rPr>
          <w:rFonts w:cs="Times New Roman"/>
          <w:i/>
        </w:rPr>
        <w:t>Parksosaurus</w:t>
      </w:r>
      <w:r w:rsidRPr="00120318">
        <w:rPr>
          <w:rFonts w:cs="Times New Roman"/>
        </w:rPr>
        <w:t xml:space="preserve"> </w:t>
      </w:r>
      <w:r w:rsidRPr="00120318">
        <w:rPr>
          <w:rFonts w:cs="Times New Roman"/>
          <w:noProof/>
        </w:rPr>
        <w:t>(</w:t>
      </w:r>
      <w:r w:rsidRPr="00215FA7">
        <w:rPr>
          <w:rFonts w:cs="Times New Roman"/>
          <w:noProof/>
        </w:rPr>
        <w:t>Parks, 1926</w:t>
      </w:r>
      <w:r w:rsidRPr="00120318">
        <w:rPr>
          <w:rFonts w:cs="Times New Roman"/>
          <w:noProof/>
        </w:rPr>
        <w:t xml:space="preserve">; </w:t>
      </w:r>
      <w:r w:rsidRPr="00215FA7">
        <w:rPr>
          <w:rFonts w:cs="Times New Roman"/>
          <w:noProof/>
        </w:rPr>
        <w:t>Sternberg, 1937</w:t>
      </w:r>
      <w:r w:rsidRPr="00120318">
        <w:rPr>
          <w:rFonts w:cs="Times New Roman"/>
          <w:noProof/>
        </w:rPr>
        <w:t>)</w:t>
      </w:r>
      <w:r w:rsidRPr="00120318">
        <w:rPr>
          <w:rFonts w:cs="Times New Roman"/>
        </w:rPr>
        <w:t xml:space="preserve">: Tolman Member, Horseshoe Canyon Formation: </w:t>
      </w:r>
      <w:r w:rsidRPr="00E55B87">
        <w:rPr>
          <w:rFonts w:cs="Times New Roman"/>
        </w:rPr>
        <w:t>early–middle Maastrichtian</w:t>
      </w:r>
      <w:r w:rsidRPr="00120318">
        <w:rPr>
          <w:rFonts w:cs="Times New Roman"/>
        </w:rPr>
        <w:t xml:space="preserve"> </w:t>
      </w:r>
      <w:r w:rsidRPr="00120318">
        <w:rPr>
          <w:rFonts w:cs="Times New Roman"/>
          <w:noProof/>
        </w:rPr>
        <w:t>(</w:t>
      </w:r>
      <w:r w:rsidRPr="00215FA7">
        <w:rPr>
          <w:rFonts w:cs="Times New Roman"/>
          <w:noProof/>
        </w:rPr>
        <w:t>Eberth and Braman, 2012</w:t>
      </w:r>
      <w:r w:rsidRPr="00120318">
        <w:rPr>
          <w:rFonts w:cs="Times New Roman"/>
          <w:noProof/>
        </w:rPr>
        <w:t xml:space="preserve">; </w:t>
      </w:r>
      <w:r w:rsidRPr="00215FA7">
        <w:rPr>
          <w:rFonts w:cs="Times New Roman"/>
          <w:noProof/>
        </w:rPr>
        <w:t>Eberth and Bell, 2014</w:t>
      </w:r>
      <w:r w:rsidRPr="00E55B87">
        <w:rPr>
          <w:rFonts w:cs="Times New Roman"/>
          <w:noProof/>
        </w:rPr>
        <w:t>)</w:t>
      </w:r>
      <w:r>
        <w:rPr>
          <w:rFonts w:cs="Times New Roman"/>
        </w:rPr>
        <w:t>.</w:t>
      </w:r>
    </w:p>
    <w:p w14:paraId="181A75EC" w14:textId="77777777" w:rsidR="00D361E3" w:rsidRDefault="00D361E3" w:rsidP="00120318">
      <w:pPr>
        <w:pStyle w:val="ListParagraph"/>
        <w:numPr>
          <w:ilvl w:val="0"/>
          <w:numId w:val="1"/>
        </w:numPr>
        <w:spacing w:line="360" w:lineRule="auto"/>
        <w:ind w:left="284" w:hanging="284"/>
        <w:rPr>
          <w:rFonts w:cs="Times New Roman"/>
        </w:rPr>
      </w:pPr>
      <w:r w:rsidRPr="00120318">
        <w:rPr>
          <w:rFonts w:cs="Times New Roman"/>
        </w:rPr>
        <w:t xml:space="preserve">Rhabdodontidae </w:t>
      </w:r>
      <w:r w:rsidRPr="00120318">
        <w:rPr>
          <w:rFonts w:cs="Times New Roman"/>
          <w:noProof/>
        </w:rPr>
        <w:t>(</w:t>
      </w:r>
      <w:r w:rsidRPr="00215FA7">
        <w:rPr>
          <w:rFonts w:cs="Times New Roman"/>
          <w:noProof/>
        </w:rPr>
        <w:t>Weishampel et al., 2003</w:t>
      </w:r>
      <w:r w:rsidRPr="00120318">
        <w:rPr>
          <w:rFonts w:cs="Times New Roman"/>
          <w:noProof/>
        </w:rPr>
        <w:t>)</w:t>
      </w:r>
      <w:r w:rsidRPr="00120318">
        <w:rPr>
          <w:rFonts w:cs="Times New Roman"/>
        </w:rPr>
        <w:t xml:space="preserve">: Although the majority of rhabdodontids are </w:t>
      </w:r>
      <w:r w:rsidRPr="00E55B87">
        <w:rPr>
          <w:rFonts w:cs="Times New Roman"/>
        </w:rPr>
        <w:t>Campanian–late Maastrichtian</w:t>
      </w:r>
      <w:r w:rsidRPr="00120318">
        <w:rPr>
          <w:rFonts w:cs="Times New Roman"/>
        </w:rPr>
        <w:t xml:space="preserve"> in age </w:t>
      </w:r>
      <w:r w:rsidRPr="00120318">
        <w:rPr>
          <w:rFonts w:cs="Times New Roman"/>
          <w:noProof/>
        </w:rPr>
        <w:t>(</w:t>
      </w:r>
      <w:r w:rsidRPr="00215FA7">
        <w:rPr>
          <w:rFonts w:cs="Times New Roman"/>
          <w:noProof/>
        </w:rPr>
        <w:t>Matheron, 1869</w:t>
      </w:r>
      <w:r w:rsidRPr="00120318">
        <w:rPr>
          <w:rFonts w:cs="Times New Roman"/>
          <w:noProof/>
        </w:rPr>
        <w:t xml:space="preserve">; </w:t>
      </w:r>
      <w:r w:rsidRPr="00215FA7">
        <w:rPr>
          <w:rFonts w:cs="Times New Roman"/>
          <w:noProof/>
        </w:rPr>
        <w:t>Weishampel et al., 2003</w:t>
      </w:r>
      <w:r w:rsidRPr="00E55B87">
        <w:rPr>
          <w:rFonts w:cs="Times New Roman"/>
          <w:noProof/>
        </w:rPr>
        <w:t xml:space="preserve">; </w:t>
      </w:r>
      <w:r w:rsidRPr="00215FA7">
        <w:rPr>
          <w:rFonts w:cs="Times New Roman"/>
          <w:noProof/>
        </w:rPr>
        <w:t>Van Itterbeeck et al., 2005</w:t>
      </w:r>
      <w:r w:rsidRPr="00E55B87">
        <w:rPr>
          <w:rFonts w:cs="Times New Roman"/>
          <w:noProof/>
        </w:rPr>
        <w:t xml:space="preserve">; </w:t>
      </w:r>
      <w:r w:rsidRPr="00215FA7">
        <w:rPr>
          <w:rFonts w:cs="Times New Roman"/>
          <w:noProof/>
        </w:rPr>
        <w:t>Chanthasit, 2010</w:t>
      </w:r>
      <w:r w:rsidRPr="00E55B87">
        <w:rPr>
          <w:rFonts w:cs="Times New Roman"/>
          <w:noProof/>
        </w:rPr>
        <w:t xml:space="preserve">; </w:t>
      </w:r>
      <w:r w:rsidRPr="00215FA7">
        <w:rPr>
          <w:rFonts w:cs="Times New Roman"/>
          <w:noProof/>
        </w:rPr>
        <w:t>Brusatte et al., 2017</w:t>
      </w:r>
      <w:r w:rsidRPr="00E55B87">
        <w:rPr>
          <w:rFonts w:cs="Times New Roman"/>
          <w:noProof/>
        </w:rPr>
        <w:t xml:space="preserve">; </w:t>
      </w:r>
      <w:r w:rsidRPr="00215FA7">
        <w:rPr>
          <w:rFonts w:cs="Times New Roman"/>
          <w:noProof/>
        </w:rPr>
        <w:t>Godefroit et al., 2017</w:t>
      </w:r>
      <w:r w:rsidRPr="00E55B87">
        <w:rPr>
          <w:rFonts w:cs="Times New Roman"/>
          <w:noProof/>
        </w:rPr>
        <w:t>)</w:t>
      </w:r>
      <w:r w:rsidRPr="00E55B87">
        <w:rPr>
          <w:rFonts w:cs="Times New Roman"/>
        </w:rPr>
        <w:t xml:space="preserve">, the oldest occurrence is constrained by our phylogenetic results that posit the late Barremian–lower Aptian </w:t>
      </w:r>
      <w:r w:rsidRPr="00120318">
        <w:rPr>
          <w:rFonts w:cs="Times New Roman"/>
        </w:rPr>
        <w:t xml:space="preserve">Vegagete specimen </w:t>
      </w:r>
      <w:r w:rsidRPr="00120318">
        <w:rPr>
          <w:rFonts w:cs="Times New Roman"/>
          <w:noProof/>
        </w:rPr>
        <w:t>(</w:t>
      </w:r>
      <w:r w:rsidRPr="00215FA7">
        <w:rPr>
          <w:rFonts w:cs="Times New Roman"/>
          <w:noProof/>
        </w:rPr>
        <w:t>Dieudonné et al., 2016</w:t>
      </w:r>
      <w:r w:rsidRPr="00E55B87">
        <w:rPr>
          <w:rFonts w:cs="Times New Roman"/>
          <w:noProof/>
        </w:rPr>
        <w:t>)</w:t>
      </w:r>
      <w:r w:rsidRPr="00E55B87">
        <w:rPr>
          <w:rFonts w:cs="Times New Roman"/>
        </w:rPr>
        <w:t xml:space="preserve"> being deeply nested within the group.</w:t>
      </w:r>
    </w:p>
    <w:p w14:paraId="4A2A9C1A" w14:textId="77777777" w:rsidR="00D361E3" w:rsidRPr="00120318" w:rsidRDefault="00D361E3" w:rsidP="00120318">
      <w:pPr>
        <w:pStyle w:val="ListParagraph"/>
        <w:numPr>
          <w:ilvl w:val="0"/>
          <w:numId w:val="1"/>
        </w:numPr>
        <w:spacing w:line="360" w:lineRule="auto"/>
        <w:ind w:left="284" w:hanging="284"/>
        <w:rPr>
          <w:rFonts w:cs="Times New Roman"/>
        </w:rPr>
      </w:pPr>
      <w:r w:rsidRPr="00120318">
        <w:rPr>
          <w:rFonts w:cs="Times New Roman"/>
        </w:rPr>
        <w:t xml:space="preserve">Styracosterna </w:t>
      </w:r>
      <w:r w:rsidRPr="00120318">
        <w:rPr>
          <w:rFonts w:cs="Times New Roman"/>
          <w:noProof/>
        </w:rPr>
        <w:t>(</w:t>
      </w:r>
      <w:r w:rsidRPr="00215FA7">
        <w:rPr>
          <w:rFonts w:cs="Times New Roman"/>
          <w:noProof/>
        </w:rPr>
        <w:t>Sereno, 1986</w:t>
      </w:r>
      <w:r w:rsidRPr="00120318">
        <w:rPr>
          <w:rFonts w:cs="Times New Roman"/>
          <w:noProof/>
        </w:rPr>
        <w:t>)</w:t>
      </w:r>
      <w:r w:rsidRPr="00120318">
        <w:rPr>
          <w:rFonts w:cs="Times New Roman"/>
        </w:rPr>
        <w:t>: The youngest styracosternan</w:t>
      </w:r>
      <w:r>
        <w:rPr>
          <w:rFonts w:cs="Times New Roman"/>
        </w:rPr>
        <w:t>s</w:t>
      </w:r>
      <w:r w:rsidRPr="00120318">
        <w:rPr>
          <w:rFonts w:cs="Times New Roman"/>
        </w:rPr>
        <w:t xml:space="preserve"> are latest Maastrichtian hadrosaurs. Although the oldest styracoster</w:t>
      </w:r>
      <w:r w:rsidRPr="00E55B87">
        <w:rPr>
          <w:rFonts w:cs="Times New Roman"/>
        </w:rPr>
        <w:t xml:space="preserve">nans are the Valanginian </w:t>
      </w:r>
      <w:r w:rsidRPr="00E55B87">
        <w:rPr>
          <w:rFonts w:cs="Times New Roman"/>
          <w:i/>
        </w:rPr>
        <w:t>Hypselospinus</w:t>
      </w:r>
      <w:r w:rsidRPr="00E55B87">
        <w:rPr>
          <w:rFonts w:cs="Times New Roman"/>
        </w:rPr>
        <w:t xml:space="preserve"> </w:t>
      </w:r>
      <w:r w:rsidRPr="00E55B87">
        <w:rPr>
          <w:rFonts w:cs="Times New Roman"/>
          <w:i/>
        </w:rPr>
        <w:t>fittoni</w:t>
      </w:r>
      <w:r w:rsidRPr="00E55B87">
        <w:rPr>
          <w:rFonts w:cs="Times New Roman"/>
        </w:rPr>
        <w:t xml:space="preserve"> and </w:t>
      </w:r>
      <w:r w:rsidRPr="00E55B87">
        <w:rPr>
          <w:rFonts w:cs="Times New Roman"/>
          <w:i/>
        </w:rPr>
        <w:t>Barilium</w:t>
      </w:r>
      <w:r w:rsidRPr="00E55B87">
        <w:rPr>
          <w:rFonts w:cs="Times New Roman"/>
        </w:rPr>
        <w:t xml:space="preserve"> </w:t>
      </w:r>
      <w:r w:rsidRPr="00E55B87">
        <w:rPr>
          <w:rFonts w:cs="Times New Roman"/>
          <w:i/>
        </w:rPr>
        <w:t>dawsoni</w:t>
      </w:r>
      <w:r w:rsidRPr="00E55B87">
        <w:rPr>
          <w:rFonts w:cs="Times New Roman"/>
        </w:rPr>
        <w:t xml:space="preserve"> </w:t>
      </w:r>
      <w:r w:rsidRPr="00E55B87">
        <w:rPr>
          <w:rFonts w:cs="Times New Roman"/>
          <w:noProof/>
        </w:rPr>
        <w:t xml:space="preserve">(and their numerous synonyms; </w:t>
      </w:r>
      <w:r w:rsidRPr="00215FA7">
        <w:rPr>
          <w:rFonts w:cs="Times New Roman"/>
          <w:noProof/>
        </w:rPr>
        <w:t>Norman, 2011</w:t>
      </w:r>
      <w:r w:rsidRPr="00E55B87">
        <w:rPr>
          <w:rFonts w:cs="Times New Roman"/>
          <w:noProof/>
        </w:rPr>
        <w:t xml:space="preserve">; </w:t>
      </w:r>
      <w:r w:rsidRPr="00215FA7">
        <w:rPr>
          <w:rFonts w:cs="Times New Roman"/>
          <w:noProof/>
        </w:rPr>
        <w:t>Norman, 2012</w:t>
      </w:r>
      <w:r w:rsidRPr="00E55B87">
        <w:rPr>
          <w:rFonts w:cs="Times New Roman"/>
          <w:noProof/>
        </w:rPr>
        <w:t xml:space="preserve">; </w:t>
      </w:r>
      <w:r w:rsidRPr="00215FA7">
        <w:rPr>
          <w:rFonts w:cs="Times New Roman"/>
          <w:noProof/>
        </w:rPr>
        <w:t>Norman, 2013</w:t>
      </w:r>
      <w:r w:rsidRPr="00E55B87">
        <w:rPr>
          <w:rFonts w:cs="Times New Roman"/>
          <w:noProof/>
        </w:rPr>
        <w:t xml:space="preserve">; </w:t>
      </w:r>
      <w:r w:rsidRPr="00215FA7">
        <w:rPr>
          <w:rFonts w:cs="Times New Roman"/>
          <w:noProof/>
        </w:rPr>
        <w:t>Norman, 2015</w:t>
      </w:r>
      <w:r w:rsidRPr="00E55B87">
        <w:rPr>
          <w:rFonts w:cs="Times New Roman"/>
          <w:noProof/>
        </w:rPr>
        <w:t>)</w:t>
      </w:r>
      <w:r w:rsidRPr="00E55B87">
        <w:rPr>
          <w:rFonts w:cs="Times New Roman"/>
        </w:rPr>
        <w:t>, the oldest inferable age for Styracosterna (as a branch-defined clade) is constrained by the age of its sister lineage, Camptosauridae/</w:t>
      </w:r>
      <w:r w:rsidRPr="00E55B87">
        <w:rPr>
          <w:rFonts w:cs="Times New Roman"/>
          <w:i/>
        </w:rPr>
        <w:t>Camptosaurus</w:t>
      </w:r>
      <w:r w:rsidRPr="00E55B87">
        <w:rPr>
          <w:rFonts w:cs="Times New Roman"/>
        </w:rPr>
        <w:t xml:space="preserve"> spp., which is therefore middle Kimmeridgian</w:t>
      </w:r>
      <w:r w:rsidRPr="00120318">
        <w:rPr>
          <w:rFonts w:cs="Times New Roman"/>
        </w:rPr>
        <w:t xml:space="preserve"> (see </w:t>
      </w:r>
      <w:r w:rsidRPr="00120318">
        <w:rPr>
          <w:rFonts w:cs="Times New Roman"/>
          <w:i/>
        </w:rPr>
        <w:t>Camptosaurus</w:t>
      </w:r>
      <w:r>
        <w:rPr>
          <w:rFonts w:cs="Times New Roman"/>
        </w:rPr>
        <w:t xml:space="preserve"> above).</w:t>
      </w:r>
    </w:p>
    <w:p w14:paraId="5FB36237" w14:textId="77777777" w:rsidR="00D361E3" w:rsidRPr="00120318" w:rsidRDefault="00D361E3" w:rsidP="00683E51">
      <w:pPr>
        <w:pStyle w:val="ListParagraph"/>
        <w:numPr>
          <w:ilvl w:val="0"/>
          <w:numId w:val="1"/>
        </w:numPr>
        <w:spacing w:line="360" w:lineRule="auto"/>
        <w:ind w:left="284" w:hanging="284"/>
        <w:rPr>
          <w:rFonts w:cs="Times New Roman"/>
        </w:rPr>
      </w:pPr>
      <w:r w:rsidRPr="00120318">
        <w:rPr>
          <w:rFonts w:cs="Times New Roman"/>
          <w:i/>
        </w:rPr>
        <w:t>Talenkauen</w:t>
      </w:r>
      <w:r w:rsidRPr="00120318">
        <w:rPr>
          <w:rFonts w:cs="Times New Roman"/>
        </w:rPr>
        <w:t xml:space="preserve"> </w:t>
      </w:r>
      <w:r w:rsidRPr="00120318">
        <w:rPr>
          <w:rFonts w:cs="Times New Roman"/>
          <w:noProof/>
        </w:rPr>
        <w:t>(</w:t>
      </w:r>
      <w:r w:rsidRPr="00215FA7">
        <w:rPr>
          <w:rFonts w:cs="Times New Roman"/>
          <w:noProof/>
        </w:rPr>
        <w:t>Novas et al., 2004</w:t>
      </w:r>
      <w:r w:rsidRPr="00120318">
        <w:rPr>
          <w:rFonts w:cs="Times New Roman"/>
          <w:noProof/>
        </w:rPr>
        <w:t>)</w:t>
      </w:r>
      <w:r w:rsidRPr="00120318">
        <w:rPr>
          <w:rFonts w:cs="Times New Roman"/>
        </w:rPr>
        <w:t xml:space="preserve">: Cerro Fortaleza Formation </w:t>
      </w:r>
      <w:r w:rsidRPr="00120318">
        <w:rPr>
          <w:rFonts w:cs="Times New Roman"/>
          <w:noProof/>
        </w:rPr>
        <w:t xml:space="preserve">(including the "Pari Aike Formation", previously suggested to be of Maastrichtian age: </w:t>
      </w:r>
      <w:r w:rsidRPr="00215FA7">
        <w:rPr>
          <w:rFonts w:cs="Times New Roman"/>
          <w:noProof/>
        </w:rPr>
        <w:t>Novas et al., 2004</w:t>
      </w:r>
      <w:r w:rsidRPr="00120318">
        <w:rPr>
          <w:rFonts w:cs="Times New Roman"/>
          <w:noProof/>
        </w:rPr>
        <w:t xml:space="preserve">; </w:t>
      </w:r>
      <w:r w:rsidRPr="00215FA7">
        <w:rPr>
          <w:rFonts w:cs="Times New Roman"/>
          <w:noProof/>
        </w:rPr>
        <w:t>Ezcurra et al., 2010</w:t>
      </w:r>
      <w:r w:rsidRPr="00120318">
        <w:rPr>
          <w:rFonts w:cs="Times New Roman"/>
          <w:noProof/>
        </w:rPr>
        <w:t>)</w:t>
      </w:r>
      <w:r w:rsidRPr="00120318">
        <w:rPr>
          <w:rFonts w:cs="Times New Roman"/>
        </w:rPr>
        <w:t xml:space="preserve">: Campanian–Maastrichtian, Late Cretaceous </w:t>
      </w:r>
      <w:r w:rsidRPr="00120318">
        <w:rPr>
          <w:rFonts w:cs="Times New Roman"/>
          <w:noProof/>
        </w:rPr>
        <w:t>(</w:t>
      </w:r>
      <w:r w:rsidRPr="00215FA7">
        <w:rPr>
          <w:rFonts w:cs="Times New Roman"/>
          <w:noProof/>
        </w:rPr>
        <w:t>Egerton, 2011</w:t>
      </w:r>
      <w:r w:rsidRPr="00120318">
        <w:rPr>
          <w:rFonts w:cs="Times New Roman"/>
          <w:noProof/>
        </w:rPr>
        <w:t xml:space="preserve">; </w:t>
      </w:r>
      <w:r w:rsidRPr="00215FA7">
        <w:rPr>
          <w:rFonts w:cs="Times New Roman"/>
          <w:noProof/>
        </w:rPr>
        <w:t>Egerton et al., 2013</w:t>
      </w:r>
      <w:r w:rsidRPr="00120318">
        <w:rPr>
          <w:rFonts w:cs="Times New Roman"/>
          <w:noProof/>
        </w:rPr>
        <w:t xml:space="preserve">; </w:t>
      </w:r>
      <w:r w:rsidRPr="00215FA7">
        <w:rPr>
          <w:rFonts w:cs="Times New Roman"/>
          <w:noProof/>
        </w:rPr>
        <w:t>Lacovara et al., 2014</w:t>
      </w:r>
      <w:r w:rsidRPr="00120318">
        <w:rPr>
          <w:rFonts w:cs="Times New Roman"/>
          <w:noProof/>
        </w:rPr>
        <w:t>)</w:t>
      </w:r>
      <w:r w:rsidRPr="00120318">
        <w:rPr>
          <w:rFonts w:cs="Times New Roman"/>
        </w:rPr>
        <w:t>.</w:t>
      </w:r>
    </w:p>
    <w:p w14:paraId="7FCBD0D6" w14:textId="77777777" w:rsidR="00D361E3" w:rsidRDefault="00D361E3" w:rsidP="00081690">
      <w:pPr>
        <w:pStyle w:val="ListParagraph"/>
        <w:numPr>
          <w:ilvl w:val="0"/>
          <w:numId w:val="1"/>
        </w:numPr>
        <w:spacing w:line="360" w:lineRule="auto"/>
        <w:ind w:left="284" w:hanging="284"/>
        <w:rPr>
          <w:rFonts w:cs="Times New Roman"/>
        </w:rPr>
      </w:pPr>
      <w:r w:rsidRPr="00120318">
        <w:rPr>
          <w:rFonts w:cs="Times New Roman"/>
          <w:i/>
        </w:rPr>
        <w:t>Tenontosaurus</w:t>
      </w:r>
      <w:r w:rsidRPr="00120318">
        <w:rPr>
          <w:rFonts w:cs="Times New Roman"/>
        </w:rPr>
        <w:t xml:space="preserve"> </w:t>
      </w:r>
      <w:r w:rsidRPr="00120318">
        <w:rPr>
          <w:rFonts w:cs="Times New Roman"/>
          <w:noProof/>
        </w:rPr>
        <w:t>(</w:t>
      </w:r>
      <w:r w:rsidRPr="00215FA7">
        <w:rPr>
          <w:rFonts w:cs="Times New Roman"/>
          <w:noProof/>
        </w:rPr>
        <w:t>Ostrom, 1970</w:t>
      </w:r>
      <w:r w:rsidRPr="00120318">
        <w:rPr>
          <w:rFonts w:cs="Times New Roman"/>
          <w:noProof/>
        </w:rPr>
        <w:t>)</w:t>
      </w:r>
      <w:r w:rsidRPr="00120318">
        <w:rPr>
          <w:rFonts w:cs="Times New Roman"/>
        </w:rPr>
        <w:t xml:space="preserve">: Cloverly, Twin Mountains, Antlers, Glen Rose, and Paluxy Formations: spanning </w:t>
      </w:r>
      <w:r>
        <w:rPr>
          <w:rFonts w:cs="Times New Roman"/>
        </w:rPr>
        <w:t xml:space="preserve">the </w:t>
      </w:r>
      <w:r w:rsidRPr="00120318">
        <w:rPr>
          <w:rFonts w:cs="Times New Roman"/>
        </w:rPr>
        <w:t xml:space="preserve">middle Aptian–middle Albian, Early Cretaceous </w:t>
      </w:r>
      <w:r w:rsidRPr="00120318">
        <w:rPr>
          <w:rFonts w:cs="Times New Roman"/>
          <w:noProof/>
        </w:rPr>
        <w:t>(</w:t>
      </w:r>
      <w:r w:rsidRPr="00215FA7">
        <w:rPr>
          <w:rFonts w:cs="Times New Roman"/>
          <w:noProof/>
        </w:rPr>
        <w:t>Ostrom, 1970</w:t>
      </w:r>
      <w:r w:rsidRPr="00120318">
        <w:rPr>
          <w:rFonts w:cs="Times New Roman"/>
          <w:noProof/>
        </w:rPr>
        <w:t xml:space="preserve">; </w:t>
      </w:r>
      <w:r w:rsidRPr="00215FA7">
        <w:rPr>
          <w:rFonts w:cs="Times New Roman"/>
          <w:noProof/>
        </w:rPr>
        <w:t>Forster, 1990</w:t>
      </w:r>
      <w:r w:rsidRPr="00120318">
        <w:rPr>
          <w:rFonts w:cs="Times New Roman"/>
          <w:noProof/>
        </w:rPr>
        <w:t xml:space="preserve">; </w:t>
      </w:r>
      <w:r w:rsidRPr="00215FA7">
        <w:rPr>
          <w:rFonts w:cs="Times New Roman"/>
          <w:noProof/>
        </w:rPr>
        <w:t>Jacobs et al., 1991</w:t>
      </w:r>
      <w:r w:rsidRPr="00120318">
        <w:rPr>
          <w:rFonts w:cs="Times New Roman"/>
          <w:noProof/>
        </w:rPr>
        <w:t xml:space="preserve">; </w:t>
      </w:r>
      <w:r w:rsidRPr="00215FA7">
        <w:rPr>
          <w:rFonts w:cs="Times New Roman"/>
          <w:noProof/>
        </w:rPr>
        <w:t>Winkler et al., 1997</w:t>
      </w:r>
      <w:r w:rsidRPr="00120318">
        <w:rPr>
          <w:rFonts w:cs="Times New Roman"/>
          <w:noProof/>
        </w:rPr>
        <w:t xml:space="preserve">; </w:t>
      </w:r>
      <w:r w:rsidRPr="00215FA7">
        <w:rPr>
          <w:rFonts w:cs="Times New Roman"/>
          <w:noProof/>
        </w:rPr>
        <w:t>Jacobs and Winkler, 1998</w:t>
      </w:r>
      <w:r w:rsidRPr="00120318">
        <w:rPr>
          <w:rFonts w:cs="Times New Roman"/>
          <w:noProof/>
        </w:rPr>
        <w:t xml:space="preserve">; </w:t>
      </w:r>
      <w:r w:rsidRPr="00215FA7">
        <w:rPr>
          <w:rFonts w:cs="Times New Roman"/>
          <w:noProof/>
        </w:rPr>
        <w:t>Winkler, 2006</w:t>
      </w:r>
      <w:r w:rsidRPr="00120318">
        <w:rPr>
          <w:rFonts w:cs="Times New Roman"/>
          <w:noProof/>
        </w:rPr>
        <w:t xml:space="preserve">; </w:t>
      </w:r>
      <w:r w:rsidRPr="00215FA7">
        <w:rPr>
          <w:rFonts w:cs="Times New Roman"/>
          <w:noProof/>
        </w:rPr>
        <w:t>Werning, 2012</w:t>
      </w:r>
      <w:r w:rsidRPr="00120318">
        <w:rPr>
          <w:rFonts w:cs="Times New Roman"/>
          <w:noProof/>
        </w:rPr>
        <w:t xml:space="preserve">; </w:t>
      </w:r>
      <w:r w:rsidRPr="00215FA7">
        <w:rPr>
          <w:rFonts w:cs="Times New Roman"/>
          <w:noProof/>
        </w:rPr>
        <w:t>Thomas, 2015</w:t>
      </w:r>
      <w:r w:rsidRPr="00120318">
        <w:rPr>
          <w:rFonts w:cs="Times New Roman"/>
          <w:noProof/>
        </w:rPr>
        <w:t>)</w:t>
      </w:r>
      <w:r w:rsidRPr="00120318">
        <w:rPr>
          <w:rFonts w:cs="Times New Roman"/>
        </w:rPr>
        <w:t>.</w:t>
      </w:r>
    </w:p>
    <w:p w14:paraId="4917A16B" w14:textId="77777777" w:rsidR="00D361E3" w:rsidRDefault="00D361E3" w:rsidP="009A0BA4">
      <w:pPr>
        <w:spacing w:line="360" w:lineRule="auto"/>
        <w:rPr>
          <w:rFonts w:cs="Times New Roman"/>
        </w:rPr>
      </w:pPr>
    </w:p>
    <w:p w14:paraId="2A98737E" w14:textId="77777777" w:rsidR="00D361E3" w:rsidRDefault="00D361E3">
      <w:pPr>
        <w:rPr>
          <w:rFonts w:ascii="Calibri" w:hAnsi="Calibri"/>
          <w:b/>
          <w:bCs/>
          <w:caps/>
          <w:sz w:val="26"/>
          <w:szCs w:val="26"/>
        </w:rPr>
      </w:pPr>
      <w:bookmarkStart w:id="9" w:name="_Toc400287922"/>
      <w:r>
        <w:br w:type="page"/>
      </w:r>
    </w:p>
    <w:p w14:paraId="359378A6" w14:textId="77777777" w:rsidR="00D361E3" w:rsidRDefault="00D361E3" w:rsidP="00CC1218">
      <w:pPr>
        <w:pStyle w:val="Heading1"/>
        <w:spacing w:line="360" w:lineRule="auto"/>
      </w:pPr>
      <w:r>
        <w:t>8. EW maximum agreement subtree</w:t>
      </w:r>
      <w:bookmarkEnd w:id="9"/>
    </w:p>
    <w:p w14:paraId="758843E8" w14:textId="77777777" w:rsidR="00D361E3" w:rsidRDefault="00D361E3" w:rsidP="00CC1218">
      <w:pPr>
        <w:spacing w:line="360" w:lineRule="auto"/>
        <w:ind w:firstLine="567"/>
      </w:pPr>
      <w:r>
        <w:t>We elected not to depict the topology resulting from the maximum agreement subtree derived from the 814 traditional (EW) most parsimonious trees in the main text. This is because the high number of pruned OTUs (22) renders the subtree to be, in effect, irrelevant with especial respect to the focal taxa of this study. It is unsurprising that a high number of OTUs were excluded, primarily because fewer taxa would have been predicted to have identical positions across all 814 MPTs, than compared to a result that may have produced fewer MPTs.</w:t>
      </w:r>
    </w:p>
    <w:p w14:paraId="07A1FFB0" w14:textId="77777777" w:rsidR="00D361E3" w:rsidRDefault="00D361E3" w:rsidP="00CC1218">
      <w:pPr>
        <w:spacing w:line="360" w:lineRule="auto"/>
      </w:pPr>
      <w:r>
        <w:rPr>
          <w:noProof/>
          <w:lang w:val="en-US"/>
        </w:rPr>
        <w:drawing>
          <wp:inline distT="0" distB="0" distL="0" distR="0" wp14:anchorId="749ABA8D" wp14:editId="6EF3B525">
            <wp:extent cx="3798276" cy="5194048"/>
            <wp:effectExtent l="0" t="0" r="12065" b="0"/>
            <wp:docPr id="2" name="Picture 2" descr="Macintosh HD:Palaeo Work:Qantassaurus &amp; Galleonosaurus:Phylogeny 2 (revised for re-submission):Revised MS phylogeny figures:output figures:Figures - Suppl R1-03 EW MA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alaeo Work:Qantassaurus &amp; Galleonosaurus:Phylogeny 2 (revised for re-submission):Revised MS phylogeny figures:output figures:Figures - Suppl R1-03 EW MAS.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9550" cy="5195791"/>
                    </a:xfrm>
                    <a:prstGeom prst="rect">
                      <a:avLst/>
                    </a:prstGeom>
                    <a:noFill/>
                    <a:ln>
                      <a:noFill/>
                    </a:ln>
                  </pic:spPr>
                </pic:pic>
              </a:graphicData>
            </a:graphic>
          </wp:inline>
        </w:drawing>
      </w:r>
    </w:p>
    <w:p w14:paraId="6CDAC5B2" w14:textId="77777777" w:rsidR="00D361E3" w:rsidRPr="00CC1218" w:rsidRDefault="00D361E3" w:rsidP="00CC1218">
      <w:pPr>
        <w:spacing w:line="360" w:lineRule="auto"/>
        <w:ind w:firstLine="567"/>
      </w:pPr>
      <w:r>
        <w:t xml:space="preserve">Two equally likely subtrees were derived from the set of 814 EW MPTs – resulting in the ‘mutual cladogram’ depicted above. The two subtrees differ only in the substitution between the basal neornithischians </w:t>
      </w:r>
      <w:r w:rsidRPr="00F94D1A">
        <w:rPr>
          <w:i/>
        </w:rPr>
        <w:t>Hexinlusaurus</w:t>
      </w:r>
      <w:r>
        <w:t xml:space="preserve"> and </w:t>
      </w:r>
      <w:r w:rsidRPr="00F94D1A">
        <w:rPr>
          <w:i/>
        </w:rPr>
        <w:t>Yandusaurus</w:t>
      </w:r>
      <w:r>
        <w:t xml:space="preserve">. With at least one of these taxa included, the EW maximum agreement subtree retains 34/56 OTUs, which results in recognizably more resolved ‘back bone’ topology of ornithischians compared to the original strict consensus (see Fig. 25.1 of the main text). However, none of the purported Elasmarian taxa, including </w:t>
      </w:r>
      <w:r w:rsidRPr="008E6B45">
        <w:rPr>
          <w:i/>
        </w:rPr>
        <w:t>Galleonosaurus</w:t>
      </w:r>
      <w:r>
        <w:t xml:space="preserve">, were retained as having stable topological positions in the agreement subtrees. Other important taxa omitted include </w:t>
      </w:r>
      <w:r w:rsidRPr="00F44308">
        <w:rPr>
          <w:i/>
        </w:rPr>
        <w:t>Thescelosaurus</w:t>
      </w:r>
      <w:r>
        <w:t xml:space="preserve"> and its kin, and </w:t>
      </w:r>
      <w:r w:rsidRPr="00F44308">
        <w:rPr>
          <w:i/>
        </w:rPr>
        <w:t>Hypsilophodon</w:t>
      </w:r>
      <w:r>
        <w:t>, the latter of which establishes the node Clypeodonta.</w:t>
      </w:r>
    </w:p>
    <w:p w14:paraId="1FDF37CD" w14:textId="77777777" w:rsidR="00D361E3" w:rsidRPr="009A0BA4" w:rsidRDefault="00D361E3" w:rsidP="009A0BA4">
      <w:pPr>
        <w:spacing w:line="360" w:lineRule="auto"/>
        <w:rPr>
          <w:rFonts w:cs="Times New Roman"/>
        </w:rPr>
      </w:pPr>
    </w:p>
    <w:p w14:paraId="516C69F2" w14:textId="77777777" w:rsidR="00D361E3" w:rsidRDefault="00D361E3">
      <w:pPr>
        <w:rPr>
          <w:rFonts w:ascii="Calibri" w:hAnsi="Calibri"/>
          <w:b/>
          <w:bCs/>
          <w:caps/>
          <w:sz w:val="26"/>
          <w:szCs w:val="26"/>
        </w:rPr>
      </w:pPr>
      <w:bookmarkStart w:id="10" w:name="_Toc400287923"/>
      <w:r>
        <w:br w:type="page"/>
      </w:r>
    </w:p>
    <w:p w14:paraId="472944C7" w14:textId="77777777" w:rsidR="00D361E3" w:rsidRDefault="00D361E3" w:rsidP="00366C66">
      <w:pPr>
        <w:pStyle w:val="Heading1"/>
        <w:spacing w:line="360" w:lineRule="auto"/>
      </w:pPr>
      <w:r>
        <w:t>9. Literature cited</w:t>
      </w:r>
      <w:bookmarkEnd w:id="10"/>
    </w:p>
    <w:p w14:paraId="1540544C" w14:textId="77777777" w:rsidR="00D361E3" w:rsidRPr="00693344" w:rsidRDefault="00D361E3" w:rsidP="00693344">
      <w:pPr>
        <w:pStyle w:val="EndNoteBibliography"/>
        <w:ind w:left="720" w:hanging="720"/>
        <w:rPr>
          <w:noProof/>
        </w:rPr>
      </w:pPr>
      <w:r w:rsidRPr="00693344">
        <w:rPr>
          <w:noProof/>
        </w:rPr>
        <w:t xml:space="preserve">Agnolín, F.L., and Rozadilla, S., 2018, Phylogenetic reassessment of </w:t>
      </w:r>
      <w:r w:rsidRPr="00693344">
        <w:rPr>
          <w:i/>
          <w:noProof/>
        </w:rPr>
        <w:t>Pisanosaurus</w:t>
      </w:r>
      <w:r w:rsidRPr="00693344">
        <w:rPr>
          <w:noProof/>
        </w:rPr>
        <w:t xml:space="preserve"> </w:t>
      </w:r>
      <w:r w:rsidRPr="00693344">
        <w:rPr>
          <w:i/>
          <w:noProof/>
        </w:rPr>
        <w:t>mertii</w:t>
      </w:r>
      <w:r w:rsidRPr="00693344">
        <w:rPr>
          <w:noProof/>
        </w:rPr>
        <w:t xml:space="preserve"> Casamiquela, 1967, a basal dinosauriform from the Late Triassic of Argentina: Journal of Systematic Palaeontology, v. 16, p. 853–879.</w:t>
      </w:r>
    </w:p>
    <w:p w14:paraId="5FEE9E75" w14:textId="77777777" w:rsidR="00D361E3" w:rsidRPr="00693344" w:rsidRDefault="00D361E3" w:rsidP="00693344">
      <w:pPr>
        <w:pStyle w:val="EndNoteBibliography"/>
        <w:ind w:left="720" w:hanging="720"/>
        <w:rPr>
          <w:noProof/>
        </w:rPr>
      </w:pPr>
      <w:r w:rsidRPr="00693344">
        <w:rPr>
          <w:noProof/>
        </w:rPr>
        <w:t>Baron, M.G., Norman, D.B., and Barrett, P.M., 2017, A new hypothesis of dinosaur relationships and early dinosaur evolution: Nature, v. 543, p. 501–506.</w:t>
      </w:r>
    </w:p>
    <w:p w14:paraId="6041C6D8" w14:textId="77777777" w:rsidR="00D361E3" w:rsidRPr="00693344" w:rsidRDefault="00D361E3" w:rsidP="00693344">
      <w:pPr>
        <w:pStyle w:val="EndNoteBibliography"/>
        <w:ind w:left="720" w:hanging="720"/>
        <w:rPr>
          <w:noProof/>
        </w:rPr>
      </w:pPr>
      <w:r w:rsidRPr="00693344">
        <w:rPr>
          <w:noProof/>
        </w:rPr>
        <w:t xml:space="preserve">Barrett, P.M., Butler, R.J., Twitchett, R.J., and Hutt, S., 2011, New material of </w:t>
      </w:r>
      <w:r w:rsidRPr="00693344">
        <w:rPr>
          <w:i/>
          <w:noProof/>
        </w:rPr>
        <w:t>Valdosaurus canaliculatus</w:t>
      </w:r>
      <w:r w:rsidRPr="00693344">
        <w:rPr>
          <w:noProof/>
        </w:rPr>
        <w:t xml:space="preserve"> (Ornithischia: Ornithopoda) from the Lower Cretaceous of southern England: Special Papers in Palaeontology, v. 86, p. 131–163.</w:t>
      </w:r>
    </w:p>
    <w:p w14:paraId="56762C3A" w14:textId="77777777" w:rsidR="00D361E3" w:rsidRPr="00693344" w:rsidRDefault="00D361E3" w:rsidP="00693344">
      <w:pPr>
        <w:pStyle w:val="EndNoteBibliography"/>
        <w:ind w:left="720" w:hanging="720"/>
        <w:rPr>
          <w:noProof/>
        </w:rPr>
      </w:pPr>
      <w:r w:rsidRPr="00693344">
        <w:rPr>
          <w:noProof/>
        </w:rPr>
        <w:t xml:space="preserve">Bartholomai, A., and Molnar, R.E., 1981, </w:t>
      </w:r>
      <w:r w:rsidRPr="00693344">
        <w:rPr>
          <w:i/>
          <w:noProof/>
        </w:rPr>
        <w:t>Muttaburrasaurus</w:t>
      </w:r>
      <w:r w:rsidRPr="00693344">
        <w:rPr>
          <w:noProof/>
        </w:rPr>
        <w:t>, a new iguanodontid (Ornithischia: Ornithopoda) dinosaur from the Lower Cretaceous of Queensland: Memoirs of the Queensland Museum, v. 20, p. 319–349.</w:t>
      </w:r>
    </w:p>
    <w:p w14:paraId="0E8B8C28" w14:textId="77777777" w:rsidR="00D361E3" w:rsidRPr="00693344" w:rsidRDefault="00D361E3" w:rsidP="00693344">
      <w:pPr>
        <w:pStyle w:val="EndNoteBibliography"/>
        <w:ind w:left="720" w:hanging="720"/>
        <w:rPr>
          <w:noProof/>
        </w:rPr>
      </w:pPr>
      <w:r w:rsidRPr="00693344">
        <w:rPr>
          <w:noProof/>
        </w:rPr>
        <w:t>Baur, G., 1891, Remarks on the reptiles generally called Dinosauria: American Naturalist, v. 25, p. 434–454.</w:t>
      </w:r>
    </w:p>
    <w:p w14:paraId="1A8CA144" w14:textId="77777777" w:rsidR="00D361E3" w:rsidRPr="00693344" w:rsidRDefault="00D361E3" w:rsidP="00693344">
      <w:pPr>
        <w:pStyle w:val="EndNoteBibliography"/>
        <w:ind w:left="720" w:hanging="720"/>
        <w:rPr>
          <w:noProof/>
        </w:rPr>
      </w:pPr>
      <w:r w:rsidRPr="00693344">
        <w:rPr>
          <w:noProof/>
        </w:rPr>
        <w:t>Boyd, C.A., 2015, The systematic relationships and biogeographic history of ornithischian dinosaurs: PeerJ: v. 3, e1523, doi: 10.7717/peerj.1523.</w:t>
      </w:r>
    </w:p>
    <w:p w14:paraId="2013732A" w14:textId="77777777" w:rsidR="00D361E3" w:rsidRPr="00693344" w:rsidRDefault="00D361E3" w:rsidP="00693344">
      <w:pPr>
        <w:pStyle w:val="EndNoteBibliography"/>
        <w:ind w:left="720" w:hanging="720"/>
        <w:rPr>
          <w:noProof/>
        </w:rPr>
      </w:pPr>
      <w:r w:rsidRPr="00693344">
        <w:rPr>
          <w:noProof/>
        </w:rPr>
        <w:t xml:space="preserve">Brown, B., and Schlaikjer, E.M., 1940, The structure and relationships of </w:t>
      </w:r>
      <w:r w:rsidRPr="00693344">
        <w:rPr>
          <w:i/>
          <w:noProof/>
        </w:rPr>
        <w:t>Protoceratops</w:t>
      </w:r>
      <w:r w:rsidRPr="00693344">
        <w:rPr>
          <w:noProof/>
        </w:rPr>
        <w:t>: Annals of the New York Academy of Sciences, v. 40, p. 133–266.</w:t>
      </w:r>
    </w:p>
    <w:p w14:paraId="2535D459" w14:textId="77777777" w:rsidR="00D361E3" w:rsidRPr="00693344" w:rsidRDefault="00D361E3" w:rsidP="00693344">
      <w:pPr>
        <w:pStyle w:val="EndNoteBibliography"/>
        <w:ind w:left="720" w:hanging="720"/>
        <w:rPr>
          <w:noProof/>
        </w:rPr>
      </w:pPr>
      <w:r w:rsidRPr="00693344">
        <w:rPr>
          <w:noProof/>
        </w:rPr>
        <w:t xml:space="preserve">Brusatte, S.L., Dumbravă, M., Vremir, M., Csiki-Sava, Z., Totoianu, R., and Norell, M.A., 2017, A catalog of </w:t>
      </w:r>
      <w:r w:rsidRPr="00693344">
        <w:rPr>
          <w:i/>
          <w:noProof/>
        </w:rPr>
        <w:t>Zalmoxes</w:t>
      </w:r>
      <w:r w:rsidRPr="00693344">
        <w:rPr>
          <w:noProof/>
        </w:rPr>
        <w:t xml:space="preserve"> (Dinosauria, Ornithopoda) specimens from the Upper Cretaceous Nălaț-Vad locality, Hațeg Basin, Romania: American Museum Novitates, v. 3884, p. 1–34.</w:t>
      </w:r>
    </w:p>
    <w:p w14:paraId="1D2015C1" w14:textId="77777777" w:rsidR="00D361E3" w:rsidRPr="00693344" w:rsidRDefault="00D361E3" w:rsidP="00693344">
      <w:pPr>
        <w:pStyle w:val="EndNoteBibliography"/>
        <w:ind w:left="720" w:hanging="720"/>
        <w:rPr>
          <w:noProof/>
        </w:rPr>
      </w:pPr>
      <w:r w:rsidRPr="00693344">
        <w:rPr>
          <w:noProof/>
        </w:rPr>
        <w:t>Buchholz, P.W., 2003, Phylogeny and biostratigraphy of basal Ornithischia, The Mesozoic in Wyoming, Tate 2002Casper College, p. 18–34.</w:t>
      </w:r>
    </w:p>
    <w:p w14:paraId="72EF4229" w14:textId="77777777" w:rsidR="00D361E3" w:rsidRPr="00693344" w:rsidRDefault="00D361E3" w:rsidP="00693344">
      <w:pPr>
        <w:pStyle w:val="EndNoteBibliography"/>
        <w:ind w:left="720" w:hanging="720"/>
        <w:rPr>
          <w:noProof/>
        </w:rPr>
      </w:pPr>
      <w:r w:rsidRPr="00693344">
        <w:rPr>
          <w:noProof/>
        </w:rPr>
        <w:t>Butler, R.J., Upchurch, P., and Norman, D.B., 2008, The phylogeny of the ornithischian dinosaurs: Journal of Systematic Palaeontology, v. 6, p. 1–40.</w:t>
      </w:r>
    </w:p>
    <w:p w14:paraId="5FCA0FCF" w14:textId="77777777" w:rsidR="00D361E3" w:rsidRPr="00693344" w:rsidRDefault="00D361E3" w:rsidP="00693344">
      <w:pPr>
        <w:pStyle w:val="EndNoteBibliography"/>
        <w:ind w:left="720" w:hanging="720"/>
        <w:rPr>
          <w:noProof/>
        </w:rPr>
      </w:pPr>
      <w:r w:rsidRPr="00693344">
        <w:rPr>
          <w:noProof/>
        </w:rPr>
        <w:t>Calvo, J.O., Porfiri, J.D., and Novas, F.E., 2007, Discovery of a new ornithopod dinosaur from the Portezuelo Formation (Upper Cretaceous), Neuquén, Patagonia, Argentina: Arquivos do Museu Nacional, Rio de Janeiro, v. 65, p. 471–483.</w:t>
      </w:r>
    </w:p>
    <w:p w14:paraId="65CD6E36" w14:textId="77777777" w:rsidR="00D361E3" w:rsidRPr="00693344" w:rsidRDefault="00D361E3" w:rsidP="00693344">
      <w:pPr>
        <w:pStyle w:val="EndNoteBibliography"/>
        <w:ind w:left="720" w:hanging="720"/>
        <w:rPr>
          <w:noProof/>
        </w:rPr>
      </w:pPr>
      <w:r w:rsidRPr="00693344">
        <w:rPr>
          <w:noProof/>
        </w:rPr>
        <w:t>Carpenter, K., and Ishida, Y., 2010, Early and “middle” Cretaceous iguanodonts in time and space: Journal of Iberian Geology, v. 36, p. 145–164.</w:t>
      </w:r>
    </w:p>
    <w:p w14:paraId="1509EAAE" w14:textId="77777777" w:rsidR="00D361E3" w:rsidRPr="00693344" w:rsidRDefault="00D361E3" w:rsidP="00693344">
      <w:pPr>
        <w:pStyle w:val="EndNoteBibliography"/>
        <w:ind w:left="720" w:hanging="720"/>
        <w:rPr>
          <w:noProof/>
        </w:rPr>
      </w:pPr>
      <w:r w:rsidRPr="00693344">
        <w:rPr>
          <w:noProof/>
        </w:rPr>
        <w:t xml:space="preserve">Chanthasit, P., 2010, The ornithopod dinosaur </w:t>
      </w:r>
      <w:r w:rsidRPr="00693344">
        <w:rPr>
          <w:i/>
          <w:noProof/>
        </w:rPr>
        <w:t>Rhabdodon</w:t>
      </w:r>
      <w:r w:rsidRPr="00693344">
        <w:rPr>
          <w:noProof/>
        </w:rPr>
        <w:t xml:space="preserve"> from the Late Cretaceous of France: anatomy, systematics and paleobiology [Ph.D. Thesis]: L'Université Claude Bernard Lyon I, 196 p.</w:t>
      </w:r>
    </w:p>
    <w:p w14:paraId="387CDF9E" w14:textId="77777777" w:rsidR="00D361E3" w:rsidRPr="00693344" w:rsidRDefault="00D361E3" w:rsidP="00693344">
      <w:pPr>
        <w:pStyle w:val="EndNoteBibliography"/>
        <w:ind w:left="720" w:hanging="720"/>
        <w:rPr>
          <w:noProof/>
        </w:rPr>
      </w:pPr>
      <w:r w:rsidRPr="00693344">
        <w:rPr>
          <w:noProof/>
        </w:rPr>
        <w:t xml:space="preserve">Cooper, M.R., 1985, A revision of the ornithischian dinosaur </w:t>
      </w:r>
      <w:r w:rsidRPr="00693344">
        <w:rPr>
          <w:i/>
          <w:noProof/>
        </w:rPr>
        <w:t>Kangnasaurus coetzeei</w:t>
      </w:r>
      <w:r w:rsidRPr="00693344">
        <w:rPr>
          <w:noProof/>
        </w:rPr>
        <w:t xml:space="preserve"> Haughton, with a classification of the Ornithischia: Annals of the South African Museum, v. 95, p. 281–317.</w:t>
      </w:r>
    </w:p>
    <w:p w14:paraId="299B720A" w14:textId="77777777" w:rsidR="00D361E3" w:rsidRPr="00693344" w:rsidRDefault="00D361E3" w:rsidP="00693344">
      <w:pPr>
        <w:pStyle w:val="EndNoteBibliography"/>
        <w:ind w:left="720" w:hanging="720"/>
        <w:rPr>
          <w:noProof/>
        </w:rPr>
      </w:pPr>
      <w:r w:rsidRPr="00693344">
        <w:rPr>
          <w:noProof/>
        </w:rPr>
        <w:t>Cope, E.D., 1869, Synopsis of the extinct Batrachia, Reptilia and Aves of North America: Transactions of the American Philosophical Society, v. 14, p. 1–252.</w:t>
      </w:r>
    </w:p>
    <w:p w14:paraId="4B72A19B" w14:textId="77777777" w:rsidR="00D361E3" w:rsidRPr="00693344" w:rsidRDefault="00D361E3" w:rsidP="00693344">
      <w:pPr>
        <w:pStyle w:val="EndNoteBibliography"/>
        <w:ind w:left="720" w:hanging="720"/>
        <w:rPr>
          <w:noProof/>
        </w:rPr>
      </w:pPr>
      <w:r w:rsidRPr="00693344">
        <w:rPr>
          <w:noProof/>
        </w:rPr>
        <w:t>Coria, R.A., and Calvo, J.O., 2002, A new iguanodontian ornithopod from Neuquén Basin, Patagonia, Argentina: Journal of Vertebrate Paleontology, v. 22, p. 503–509.</w:t>
      </w:r>
    </w:p>
    <w:p w14:paraId="07AE8517" w14:textId="77777777" w:rsidR="00D361E3" w:rsidRPr="00693344" w:rsidRDefault="00D361E3" w:rsidP="00693344">
      <w:pPr>
        <w:pStyle w:val="EndNoteBibliography"/>
        <w:ind w:left="720" w:hanging="720"/>
        <w:rPr>
          <w:noProof/>
        </w:rPr>
      </w:pPr>
      <w:r w:rsidRPr="00693344">
        <w:rPr>
          <w:noProof/>
        </w:rPr>
        <w:t>Coria, R.A., and Salgado, L., 1996, A basal iguanodontian (Ornithischia: Ornithopoda) from the Late Cretaceous of South America: Journal of Vertebrate Paleontology, v. 16, p. 445–457.</w:t>
      </w:r>
    </w:p>
    <w:p w14:paraId="4D34654C" w14:textId="77777777" w:rsidR="00D361E3" w:rsidRPr="00693344" w:rsidRDefault="00D361E3" w:rsidP="00693344">
      <w:pPr>
        <w:pStyle w:val="EndNoteBibliography"/>
        <w:ind w:left="720" w:hanging="720"/>
        <w:rPr>
          <w:noProof/>
        </w:rPr>
      </w:pPr>
      <w:r w:rsidRPr="00693344">
        <w:rPr>
          <w:noProof/>
        </w:rPr>
        <w:t>Crampton, J.S., and Moore, P.R., 1990, Environment of deposition of the Maungataniwha Sandstone (Late Cretaceous), Te Hoe River area, western Hawke's Bay, New Zealand: New Zealand Journal of Geology and Geophysics, v. 33, p. 333–348.</w:t>
      </w:r>
    </w:p>
    <w:p w14:paraId="6E1EF94F" w14:textId="77777777" w:rsidR="00D361E3" w:rsidRPr="00693344" w:rsidRDefault="00D361E3" w:rsidP="00693344">
      <w:pPr>
        <w:pStyle w:val="EndNoteBibliography"/>
        <w:ind w:left="720" w:hanging="720"/>
        <w:rPr>
          <w:noProof/>
        </w:rPr>
      </w:pPr>
      <w:r w:rsidRPr="00693344">
        <w:rPr>
          <w:noProof/>
        </w:rPr>
        <w:t>Dieudonné, P.-E., Tortosa, T., Torcida Fernández-Baldor, F., Canudo, J.I., and Díaz-Martínez, I., 2016, An unexpected early rhabdodontid from Europe (Lower Cretaceous of Salas de los Infantes, Burgos Province, Spain) and a re-examination of basal iguanodontian relationships: PLoS ONE: v. 11, e0156251, doi: 10.1371/journal.pone.0156251.</w:t>
      </w:r>
    </w:p>
    <w:p w14:paraId="354F50B3" w14:textId="77777777" w:rsidR="00D361E3" w:rsidRPr="00693344" w:rsidRDefault="00D361E3" w:rsidP="00693344">
      <w:pPr>
        <w:pStyle w:val="EndNoteBibliography"/>
        <w:ind w:left="720" w:hanging="720"/>
        <w:rPr>
          <w:noProof/>
        </w:rPr>
      </w:pPr>
      <w:r w:rsidRPr="00693344">
        <w:rPr>
          <w:noProof/>
        </w:rPr>
        <w:t>Dollo, L., 1888, Iguanodontidae et Camptonotidae: Comptes rendus hebdomadaires des Séances de l'Académie des Sciences, v. 106, p. 775–777.</w:t>
      </w:r>
    </w:p>
    <w:p w14:paraId="3ED7A663" w14:textId="77777777" w:rsidR="00D361E3" w:rsidRPr="00693344" w:rsidRDefault="00D361E3" w:rsidP="00693344">
      <w:pPr>
        <w:pStyle w:val="EndNoteBibliography"/>
        <w:ind w:left="720" w:hanging="720"/>
        <w:rPr>
          <w:noProof/>
        </w:rPr>
      </w:pPr>
      <w:r w:rsidRPr="00693344">
        <w:rPr>
          <w:noProof/>
        </w:rPr>
        <w:t>Eberth, D.A., and Bell, P.R., 2014, Stratigraphy of the Danek Bonebed (Upper Cretaceous Horseshoe Canyon Formation, central Alberta) and correlations with strata in the Drumheller and Grande Prairie regions: Canadian Journal of Earth Sciences, v. 51, p. 975–981.</w:t>
      </w:r>
    </w:p>
    <w:p w14:paraId="7217091E" w14:textId="77777777" w:rsidR="00D361E3" w:rsidRPr="00693344" w:rsidRDefault="00D361E3" w:rsidP="00693344">
      <w:pPr>
        <w:pStyle w:val="EndNoteBibliography"/>
        <w:ind w:left="720" w:hanging="720"/>
        <w:rPr>
          <w:noProof/>
        </w:rPr>
      </w:pPr>
      <w:r w:rsidRPr="00693344">
        <w:rPr>
          <w:noProof/>
        </w:rPr>
        <w:t>Eberth, D.A., and Braman, D.R., 2012, A revised stratigraphy and depositional history for the Horseshoe Canyon Formation (Upper Cretaceous), southern Alberta plains: Canadian Journal of Earth Sciences, v. 49, p. 1053–1086.</w:t>
      </w:r>
    </w:p>
    <w:p w14:paraId="78C5A5FA" w14:textId="77777777" w:rsidR="00D361E3" w:rsidRPr="00693344" w:rsidRDefault="00D361E3" w:rsidP="00693344">
      <w:pPr>
        <w:pStyle w:val="EndNoteBibliography"/>
        <w:ind w:left="720" w:hanging="720"/>
        <w:rPr>
          <w:noProof/>
        </w:rPr>
      </w:pPr>
      <w:r w:rsidRPr="00693344">
        <w:rPr>
          <w:noProof/>
        </w:rPr>
        <w:t>Egerton, V.M., 2011, The geology, paleontology and paleoecology of the Cerro Fortaleza Formation, Patagonia (Argentina) [Ph.D. Thesis]: Drexel University, 275 p.</w:t>
      </w:r>
    </w:p>
    <w:p w14:paraId="517D5F2E" w14:textId="77777777" w:rsidR="00D361E3" w:rsidRPr="00693344" w:rsidRDefault="00D361E3" w:rsidP="00693344">
      <w:pPr>
        <w:pStyle w:val="EndNoteBibliography"/>
        <w:ind w:left="720" w:hanging="720"/>
        <w:rPr>
          <w:noProof/>
        </w:rPr>
      </w:pPr>
      <w:r w:rsidRPr="00693344">
        <w:rPr>
          <w:noProof/>
        </w:rPr>
        <w:t>Egerton, V.M., Novas, F.E., Dodson, P., and Lacovara, K.J., 2013, The first record of a neonatal ornithopod dinosaur from Gondwana: Gondwana Research, v. 23, p. 268–271.</w:t>
      </w:r>
    </w:p>
    <w:p w14:paraId="51B94F30" w14:textId="77777777" w:rsidR="00D361E3" w:rsidRPr="00693344" w:rsidRDefault="00D361E3" w:rsidP="00693344">
      <w:pPr>
        <w:pStyle w:val="EndNoteBibliography"/>
        <w:ind w:left="720" w:hanging="720"/>
        <w:rPr>
          <w:noProof/>
        </w:rPr>
      </w:pPr>
      <w:r w:rsidRPr="00693344">
        <w:rPr>
          <w:noProof/>
        </w:rPr>
        <w:t>Ezcurra, M.D., Agnolín, F.L., and Novas, F.E., 2010, An abelisauroid dinosaur with a non-atrophied manus from the Late Cretaceous Pari Aike Formation of southern Patagonia: Zootaxa, v. 2450, p. 1–25.</w:t>
      </w:r>
    </w:p>
    <w:p w14:paraId="4D1FB85B" w14:textId="77777777" w:rsidR="00D361E3" w:rsidRPr="00693344" w:rsidRDefault="00D361E3" w:rsidP="00693344">
      <w:pPr>
        <w:pStyle w:val="EndNoteBibliography"/>
        <w:ind w:left="720" w:hanging="720"/>
        <w:rPr>
          <w:noProof/>
        </w:rPr>
      </w:pPr>
      <w:r w:rsidRPr="00693344">
        <w:rPr>
          <w:noProof/>
        </w:rPr>
        <w:t>Farris, J.S., 1969, A successive approximations approach to character weighting Systematic Biology, v. 18, p. 374–385.</w:t>
      </w:r>
    </w:p>
    <w:p w14:paraId="54F065AE" w14:textId="77777777" w:rsidR="00D361E3" w:rsidRPr="00693344" w:rsidRDefault="00D361E3" w:rsidP="00693344">
      <w:pPr>
        <w:pStyle w:val="EndNoteBibliography"/>
        <w:ind w:left="720" w:hanging="720"/>
        <w:rPr>
          <w:noProof/>
        </w:rPr>
      </w:pPr>
      <w:r w:rsidRPr="00693344">
        <w:rPr>
          <w:noProof/>
        </w:rPr>
        <w:t xml:space="preserve">Forster, C.A., 1990, The postcranial skeleton of the ornithopod dinosaur </w:t>
      </w:r>
      <w:r w:rsidRPr="00693344">
        <w:rPr>
          <w:i/>
          <w:noProof/>
        </w:rPr>
        <w:t>Tenontosaurus tilletti</w:t>
      </w:r>
      <w:r w:rsidRPr="00693344">
        <w:rPr>
          <w:noProof/>
        </w:rPr>
        <w:t>: Journal of Vertebrate Paleontology, v. 10, p. 273–294.</w:t>
      </w:r>
    </w:p>
    <w:p w14:paraId="2579B042" w14:textId="77777777" w:rsidR="00D361E3" w:rsidRPr="00693344" w:rsidRDefault="00D361E3" w:rsidP="00693344">
      <w:pPr>
        <w:pStyle w:val="EndNoteBibliography"/>
        <w:ind w:left="720" w:hanging="720"/>
        <w:rPr>
          <w:noProof/>
        </w:rPr>
      </w:pPr>
      <w:r w:rsidRPr="00693344">
        <w:rPr>
          <w:noProof/>
        </w:rPr>
        <w:t xml:space="preserve">Galton, P.M., 2009, Notes on Neocomian (Lower Cretaceous) ornithopod dinosaurs from England - </w:t>
      </w:r>
      <w:r w:rsidRPr="00693344">
        <w:rPr>
          <w:i/>
          <w:noProof/>
        </w:rPr>
        <w:t>Hypsilophodon</w:t>
      </w:r>
      <w:r w:rsidRPr="00693344">
        <w:rPr>
          <w:noProof/>
        </w:rPr>
        <w:t xml:space="preserve">, </w:t>
      </w:r>
      <w:r w:rsidRPr="00693344">
        <w:rPr>
          <w:i/>
          <w:noProof/>
        </w:rPr>
        <w:t>Valdosaurus</w:t>
      </w:r>
      <w:r w:rsidRPr="00693344">
        <w:rPr>
          <w:noProof/>
        </w:rPr>
        <w:t>, “</w:t>
      </w:r>
      <w:r w:rsidRPr="00693344">
        <w:rPr>
          <w:i/>
          <w:noProof/>
        </w:rPr>
        <w:t>Camptosaurus</w:t>
      </w:r>
      <w:r w:rsidRPr="00693344">
        <w:rPr>
          <w:noProof/>
        </w:rPr>
        <w:t>”, “</w:t>
      </w:r>
      <w:r w:rsidRPr="00693344">
        <w:rPr>
          <w:i/>
          <w:noProof/>
        </w:rPr>
        <w:t>Iguanodon</w:t>
      </w:r>
      <w:r w:rsidRPr="00693344">
        <w:rPr>
          <w:noProof/>
        </w:rPr>
        <w:t>” - and referred specimens from Romania and elsewhere: Revue de Paléobiologie, v. 28, p. 211–273.</w:t>
      </w:r>
    </w:p>
    <w:p w14:paraId="486BAAF8" w14:textId="77777777" w:rsidR="00D361E3" w:rsidRPr="00693344" w:rsidRDefault="00D361E3" w:rsidP="00693344">
      <w:pPr>
        <w:pStyle w:val="EndNoteBibliography"/>
        <w:ind w:left="720" w:hanging="720"/>
        <w:rPr>
          <w:noProof/>
        </w:rPr>
      </w:pPr>
      <w:r w:rsidRPr="00693344">
        <w:rPr>
          <w:noProof/>
        </w:rPr>
        <w:t xml:space="preserve">Galton, P.M., 2012, </w:t>
      </w:r>
      <w:r w:rsidRPr="00693344">
        <w:rPr>
          <w:i/>
          <w:noProof/>
        </w:rPr>
        <w:t>Hypsilophodon foxii</w:t>
      </w:r>
      <w:r w:rsidRPr="00693344">
        <w:rPr>
          <w:noProof/>
        </w:rPr>
        <w:t xml:space="preserve"> and other smaller bipedal ornithischian dinosaurs from the Lower Cretaceous of southern England, </w:t>
      </w:r>
      <w:r w:rsidRPr="00693344">
        <w:rPr>
          <w:i/>
          <w:noProof/>
        </w:rPr>
        <w:t xml:space="preserve">in </w:t>
      </w:r>
      <w:r w:rsidRPr="00693344">
        <w:rPr>
          <w:noProof/>
        </w:rPr>
        <w:t>Godefroit, P., ed., Bernissart Dinosaurs and Early Cretaceous Terrestrial Ecosystems: Bloomington &amp; Indianapolis, Indiana University Press, p. 225–281.</w:t>
      </w:r>
    </w:p>
    <w:p w14:paraId="658AC183" w14:textId="77777777" w:rsidR="00D361E3" w:rsidRPr="00693344" w:rsidRDefault="00D361E3" w:rsidP="00693344">
      <w:pPr>
        <w:pStyle w:val="EndNoteBibliography"/>
        <w:ind w:left="720" w:hanging="720"/>
        <w:rPr>
          <w:noProof/>
        </w:rPr>
      </w:pPr>
      <w:r w:rsidRPr="00693344">
        <w:rPr>
          <w:noProof/>
        </w:rPr>
        <w:t>Galton, P.M., and Sues, H.-D., 1983, New data on pachycephalosaurid dinosaurs (Reptilia: Ornithischia) from North America: Canadian Journal of Earth Sciences, v. 20, p. 462–472.</w:t>
      </w:r>
    </w:p>
    <w:p w14:paraId="172E9B21" w14:textId="77777777" w:rsidR="00D361E3" w:rsidRPr="00693344" w:rsidRDefault="00D361E3" w:rsidP="00693344">
      <w:pPr>
        <w:pStyle w:val="EndNoteBibliography"/>
        <w:ind w:left="720" w:hanging="720"/>
        <w:rPr>
          <w:noProof/>
        </w:rPr>
      </w:pPr>
      <w:r w:rsidRPr="00693344">
        <w:rPr>
          <w:noProof/>
        </w:rPr>
        <w:t xml:space="preserve">Gilmore, C.W., 1909, Osteology of the Jurassic reptile </w:t>
      </w:r>
      <w:r w:rsidRPr="00693344">
        <w:rPr>
          <w:i/>
          <w:noProof/>
        </w:rPr>
        <w:t>Camptosaurus</w:t>
      </w:r>
      <w:r w:rsidRPr="00693344">
        <w:rPr>
          <w:noProof/>
        </w:rPr>
        <w:t>, with a revision of the species of the genus, and descriptions of two new species: Proceedings of the United States National Museum, v. 36, p. 197–332.</w:t>
      </w:r>
    </w:p>
    <w:p w14:paraId="720200F9" w14:textId="77777777" w:rsidR="00D361E3" w:rsidRPr="00693344" w:rsidRDefault="00D361E3" w:rsidP="00693344">
      <w:pPr>
        <w:pStyle w:val="EndNoteBibliography"/>
        <w:ind w:left="720" w:hanging="720"/>
        <w:rPr>
          <w:noProof/>
        </w:rPr>
      </w:pPr>
      <w:r w:rsidRPr="00693344">
        <w:rPr>
          <w:noProof/>
        </w:rPr>
        <w:t xml:space="preserve">Gilmore, C.W., 1924, On </w:t>
      </w:r>
      <w:r w:rsidRPr="00693344">
        <w:rPr>
          <w:i/>
          <w:noProof/>
        </w:rPr>
        <w:t>Troodon validus</w:t>
      </w:r>
      <w:r w:rsidRPr="00693344">
        <w:rPr>
          <w:noProof/>
        </w:rPr>
        <w:t>, an orthopodous dinosaur from the Belly River Cretaceous of Alberta, Canada: University of Alberta, Department of Geology, Bulletin, v. 1, p. 1–43.</w:t>
      </w:r>
    </w:p>
    <w:p w14:paraId="51EC554E" w14:textId="77777777" w:rsidR="00D361E3" w:rsidRPr="00693344" w:rsidRDefault="00D361E3" w:rsidP="00693344">
      <w:pPr>
        <w:pStyle w:val="EndNoteBibliography"/>
        <w:ind w:left="720" w:hanging="720"/>
        <w:rPr>
          <w:noProof/>
        </w:rPr>
      </w:pPr>
      <w:r w:rsidRPr="00693344">
        <w:rPr>
          <w:noProof/>
        </w:rPr>
        <w:t>Godefroit, P., Garcia, G., Gomez, B., Stein, K.H.W., Cincotta, A., Lefèvre, U., and Valentin, X., 2017, Extreme tooth enlargement in a new Late Cretaceous rhabdodontid dinosaur from southern France: Scientific Reports: v. 7, 13098, doi: 10.1038/s41598-017-13160-2.</w:t>
      </w:r>
    </w:p>
    <w:p w14:paraId="72916D1F" w14:textId="77777777" w:rsidR="00D361E3" w:rsidRPr="00693344" w:rsidRDefault="00D361E3" w:rsidP="00693344">
      <w:pPr>
        <w:pStyle w:val="EndNoteBibliography"/>
        <w:ind w:left="720" w:hanging="720"/>
        <w:rPr>
          <w:noProof/>
        </w:rPr>
      </w:pPr>
      <w:r w:rsidRPr="00693344">
        <w:rPr>
          <w:noProof/>
        </w:rPr>
        <w:t>Goloboff, P.A., 1993, Estimating character weights during tree search: Cladistics, v. 9, p. 83–91.</w:t>
      </w:r>
    </w:p>
    <w:p w14:paraId="50142BA8" w14:textId="77777777" w:rsidR="00D361E3" w:rsidRPr="00693344" w:rsidRDefault="00D361E3" w:rsidP="00693344">
      <w:pPr>
        <w:pStyle w:val="EndNoteBibliography"/>
        <w:ind w:left="720" w:hanging="720"/>
        <w:rPr>
          <w:noProof/>
        </w:rPr>
      </w:pPr>
      <w:r w:rsidRPr="00693344">
        <w:rPr>
          <w:noProof/>
        </w:rPr>
        <w:t>Goloboff, P.A., Carpenter, J.M., Arias, J.S., and Esquivel, D.R.M., 2008, Weighting against homoplasy improves phylogenetic analysis of morphological data sets: Cladistics, v. 24, p. 758–773.</w:t>
      </w:r>
    </w:p>
    <w:p w14:paraId="30DBAD5D" w14:textId="77777777" w:rsidR="00D361E3" w:rsidRPr="00693344" w:rsidRDefault="00D361E3" w:rsidP="00693344">
      <w:pPr>
        <w:pStyle w:val="EndNoteBibliography"/>
        <w:ind w:left="720" w:hanging="720"/>
        <w:rPr>
          <w:noProof/>
        </w:rPr>
      </w:pPr>
      <w:r w:rsidRPr="00693344">
        <w:rPr>
          <w:noProof/>
        </w:rPr>
        <w:t xml:space="preserve">Han, F., Barrett, P.M., Butler, R.J., and Xu, X., 2012, Postcranial anatomy of </w:t>
      </w:r>
      <w:r w:rsidRPr="00693344">
        <w:rPr>
          <w:i/>
          <w:noProof/>
        </w:rPr>
        <w:t>Jeholosaurus shangyuanensis</w:t>
      </w:r>
      <w:r w:rsidRPr="00693344">
        <w:rPr>
          <w:noProof/>
        </w:rPr>
        <w:t xml:space="preserve"> (Dinosauria, Ornithischia) from the Lower Cretaceous Yixian Formation of China: Journal of Vertebrate Paleontology, v. 32, p. 1370–1395.</w:t>
      </w:r>
    </w:p>
    <w:p w14:paraId="7696A0BF" w14:textId="77777777" w:rsidR="00D361E3" w:rsidRPr="00693344" w:rsidRDefault="00D361E3" w:rsidP="00693344">
      <w:pPr>
        <w:pStyle w:val="EndNoteBibliography"/>
        <w:ind w:left="720" w:hanging="720"/>
        <w:rPr>
          <w:noProof/>
        </w:rPr>
      </w:pPr>
      <w:r w:rsidRPr="00693344">
        <w:rPr>
          <w:noProof/>
        </w:rPr>
        <w:t xml:space="preserve">Han, F., Forster, C.A., Xu, X., and Clark, J.M., 2018, Postcranial anatomy of </w:t>
      </w:r>
      <w:r w:rsidRPr="00693344">
        <w:rPr>
          <w:i/>
          <w:noProof/>
        </w:rPr>
        <w:t>Yinlong downsi</w:t>
      </w:r>
      <w:r w:rsidRPr="00693344">
        <w:rPr>
          <w:noProof/>
        </w:rPr>
        <w:t xml:space="preserve"> (Dinosauria: Ceratopsia) from the Upper Jurassic Shishugou Formation of China and the phylogeny of basal ornithischians: Journal of Systematic Palaeontology, v. 16, p. 1159–1187.</w:t>
      </w:r>
    </w:p>
    <w:p w14:paraId="0BA1C909" w14:textId="77777777" w:rsidR="00D361E3" w:rsidRPr="00693344" w:rsidRDefault="00D361E3" w:rsidP="00693344">
      <w:pPr>
        <w:pStyle w:val="EndNoteBibliography"/>
        <w:ind w:left="720" w:hanging="720"/>
        <w:rPr>
          <w:noProof/>
        </w:rPr>
      </w:pPr>
      <w:r w:rsidRPr="00693344">
        <w:rPr>
          <w:noProof/>
        </w:rPr>
        <w:t>Haughton, S.H., 1915, On some dinosaur remains from Bushmanland: Transactions of the Royal Society of South Africa, v. 5, p. 259–264.</w:t>
      </w:r>
    </w:p>
    <w:p w14:paraId="58AA054E" w14:textId="77777777" w:rsidR="00D361E3" w:rsidRPr="00693344" w:rsidRDefault="00D361E3" w:rsidP="00693344">
      <w:pPr>
        <w:pStyle w:val="EndNoteBibliography"/>
        <w:ind w:left="720" w:hanging="720"/>
        <w:rPr>
          <w:noProof/>
        </w:rPr>
      </w:pPr>
      <w:r w:rsidRPr="00693344">
        <w:rPr>
          <w:noProof/>
        </w:rPr>
        <w:t xml:space="preserve">He, Y., Makovicky, P.J., Xu, X., and You, H., 2018, High-resolution computed tomographic analysis of tooth replacement pattern of the basal neoceratopsian </w:t>
      </w:r>
      <w:r w:rsidRPr="00693344">
        <w:rPr>
          <w:i/>
          <w:noProof/>
        </w:rPr>
        <w:t>Liaoceratops</w:t>
      </w:r>
      <w:r w:rsidRPr="00693344">
        <w:rPr>
          <w:noProof/>
        </w:rPr>
        <w:t xml:space="preserve"> </w:t>
      </w:r>
      <w:r w:rsidRPr="00693344">
        <w:rPr>
          <w:i/>
          <w:noProof/>
        </w:rPr>
        <w:t>yanzigouensis</w:t>
      </w:r>
      <w:r w:rsidRPr="00693344">
        <w:rPr>
          <w:noProof/>
        </w:rPr>
        <w:t xml:space="preserve"> informs ceratopsian dental evolution: Scientific Reports: v. 8, 5870, doi: 10.1038/s41598-018-24283-5.</w:t>
      </w:r>
    </w:p>
    <w:p w14:paraId="0D9A7388" w14:textId="77777777" w:rsidR="00D361E3" w:rsidRPr="00693344" w:rsidRDefault="00D361E3" w:rsidP="00693344">
      <w:pPr>
        <w:pStyle w:val="EndNoteBibliography"/>
        <w:ind w:left="720" w:hanging="720"/>
        <w:rPr>
          <w:noProof/>
        </w:rPr>
      </w:pPr>
      <w:r w:rsidRPr="00693344">
        <w:rPr>
          <w:noProof/>
        </w:rPr>
        <w:t>Herne, M.C., Tait, A.M., Weisbecker, V., Hall, M., Nair, J.P., Cleeland, M., and Salisbury, S.W., 2018, A new small-bodied ornithopod (Dinosauria, Ornithischia) from an Early Cretaceous deep, high-energy river of the Australian-Antarctic rift system: PeerJ: v. 5, e4113, doi: 10.7717/peerj.4113.</w:t>
      </w:r>
    </w:p>
    <w:p w14:paraId="794ED4FC" w14:textId="77777777" w:rsidR="00D361E3" w:rsidRPr="00693344" w:rsidRDefault="00D361E3" w:rsidP="00693344">
      <w:pPr>
        <w:pStyle w:val="EndNoteBibliography"/>
        <w:ind w:left="720" w:hanging="720"/>
        <w:rPr>
          <w:noProof/>
        </w:rPr>
      </w:pPr>
      <w:r w:rsidRPr="00693344">
        <w:rPr>
          <w:noProof/>
        </w:rPr>
        <w:t xml:space="preserve">Huxley, T.H., 1870, On </w:t>
      </w:r>
      <w:r w:rsidRPr="00693344">
        <w:rPr>
          <w:i/>
          <w:noProof/>
        </w:rPr>
        <w:t>Hypsilophodon foxii</w:t>
      </w:r>
      <w:r w:rsidRPr="00693344">
        <w:rPr>
          <w:noProof/>
        </w:rPr>
        <w:t>, a new dinosaurian from the Wealden of the Isle of Wight: Quarterly Journal of the Geological Society of London, v. 25, p. 3–12, 50.</w:t>
      </w:r>
    </w:p>
    <w:p w14:paraId="604DCAAB" w14:textId="77777777" w:rsidR="00D361E3" w:rsidRPr="00693344" w:rsidRDefault="00D361E3" w:rsidP="00693344">
      <w:pPr>
        <w:pStyle w:val="EndNoteBibliography"/>
        <w:ind w:left="720" w:hanging="720"/>
        <w:rPr>
          <w:noProof/>
        </w:rPr>
      </w:pPr>
      <w:r w:rsidRPr="00693344">
        <w:rPr>
          <w:noProof/>
        </w:rPr>
        <w:t>Jacobs, L.L., and Winkler, D.A., 1998, Mammals, archosaurs, and the Early to Late Cretaceous transition in north-central Texas: National Science Museum Monographs, v. 14, p. 253–280.</w:t>
      </w:r>
    </w:p>
    <w:p w14:paraId="2364FD88" w14:textId="77777777" w:rsidR="00D361E3" w:rsidRPr="00693344" w:rsidRDefault="00D361E3" w:rsidP="00693344">
      <w:pPr>
        <w:pStyle w:val="EndNoteBibliography"/>
        <w:ind w:left="720" w:hanging="720"/>
        <w:rPr>
          <w:noProof/>
        </w:rPr>
      </w:pPr>
      <w:r w:rsidRPr="00693344">
        <w:rPr>
          <w:noProof/>
        </w:rPr>
        <w:t>Jacobs, L.L., Winkler, D.A., and Murry, P.A., 1991, On the age and correlation of Trinity mammals, Early Cretaceous of Texas, USA: Newsletters on Stratigraphy, v. 24, p. 35–43.</w:t>
      </w:r>
    </w:p>
    <w:p w14:paraId="745F0419" w14:textId="77777777" w:rsidR="00D361E3" w:rsidRPr="00693344" w:rsidRDefault="00D361E3" w:rsidP="00693344">
      <w:pPr>
        <w:pStyle w:val="EndNoteBibliography"/>
        <w:ind w:left="720" w:hanging="720"/>
        <w:rPr>
          <w:noProof/>
        </w:rPr>
      </w:pPr>
      <w:r w:rsidRPr="00693344">
        <w:rPr>
          <w:noProof/>
        </w:rPr>
        <w:t>Kitching, I.J., Forey, P.L., Humphries, C.J., and Williams, D.M., 1998, Cladistics. The Theory and Practice of Parsimony Analysis (2nd ed.): Oxford, Oxford University Press, 228 p.</w:t>
      </w:r>
    </w:p>
    <w:p w14:paraId="7C2D2E09" w14:textId="77777777" w:rsidR="00D361E3" w:rsidRPr="00693344" w:rsidRDefault="00D361E3" w:rsidP="00693344">
      <w:pPr>
        <w:pStyle w:val="EndNoteBibliography"/>
        <w:ind w:left="720" w:hanging="720"/>
        <w:rPr>
          <w:noProof/>
        </w:rPr>
      </w:pPr>
      <w:r w:rsidRPr="00693344">
        <w:rPr>
          <w:noProof/>
        </w:rPr>
        <w:t>Korasidis, V.A., Wagstaff, B.E., Gallagher, S.J., Duddy, I.R., Tosolini, A.-M.P., Cantrill, D.J., and Norvick, M.S., 2016, Early angiosperm diversification in the Albian of southeast Australia: implications for flowering plant radiation across eastern Gondwana: Review of Palaeobotany and Palynology, v. 232, p. 61–80.</w:t>
      </w:r>
    </w:p>
    <w:p w14:paraId="6C4C1251" w14:textId="77777777" w:rsidR="00D361E3" w:rsidRPr="00693344" w:rsidRDefault="00D361E3" w:rsidP="00693344">
      <w:pPr>
        <w:pStyle w:val="EndNoteBibliography"/>
        <w:ind w:left="720" w:hanging="720"/>
        <w:rPr>
          <w:noProof/>
        </w:rPr>
      </w:pPr>
      <w:r w:rsidRPr="00693344">
        <w:rPr>
          <w:noProof/>
        </w:rPr>
        <w:t>Lacovara, K.J., Lamanna, M.C., Ibiricu, L.M., Poole, J.C., Schroeter, E.R., Ullmann, P.V., Voegele, K.K., Boles, Z.M., Carter, A.M., Fowler, E.K., Egerton, V.M., Moyer, A.E., Coughenour, C.L., Schein, J.P., Harris, J.D., Martínez, R.D., and Novas, F.E., 2014, A gigantic, exceptionally complete titanosaurian sauropod dinosaur from southern Patagonia, Argentina: Scientific Reports: v. 4, 6196, doi: 10.1038/srep06196.</w:t>
      </w:r>
    </w:p>
    <w:p w14:paraId="3D67A1CA" w14:textId="77777777" w:rsidR="00D361E3" w:rsidRPr="00693344" w:rsidRDefault="00D361E3" w:rsidP="00693344">
      <w:pPr>
        <w:pStyle w:val="EndNoteBibliography"/>
        <w:ind w:left="720" w:hanging="720"/>
        <w:rPr>
          <w:noProof/>
        </w:rPr>
      </w:pPr>
      <w:r w:rsidRPr="00693344">
        <w:rPr>
          <w:noProof/>
        </w:rPr>
        <w:t>Leanza, H.A., Apesteguía, S., Novas, F.E., and De La Fuente, M.S., 2004, Cretaceous terrestrial beds from the Neuquén Basin (Argentina) and their tetrapod assemblages: Cretaceous Research, v. 25, p. 61–87.</w:t>
      </w:r>
    </w:p>
    <w:p w14:paraId="4BB69FAB" w14:textId="77777777" w:rsidR="00D361E3" w:rsidRPr="00693344" w:rsidRDefault="00D361E3" w:rsidP="00693344">
      <w:pPr>
        <w:pStyle w:val="EndNoteBibliography"/>
        <w:ind w:left="720" w:hanging="720"/>
        <w:rPr>
          <w:noProof/>
        </w:rPr>
      </w:pPr>
      <w:r w:rsidRPr="00693344">
        <w:rPr>
          <w:noProof/>
        </w:rPr>
        <w:t>Madzia, D., Boyd, C.A., and Mazuch, M., 2018, A basal ornithopod dinosaur from the Cenomanian of the Czech Republic: Journal of Systematic Palaeontology, v. 16, p. 967–979.</w:t>
      </w:r>
    </w:p>
    <w:p w14:paraId="3818426E" w14:textId="77777777" w:rsidR="00D361E3" w:rsidRPr="00693344" w:rsidRDefault="00D361E3" w:rsidP="00693344">
      <w:pPr>
        <w:pStyle w:val="EndNoteBibliography"/>
        <w:ind w:left="720" w:hanging="720"/>
        <w:rPr>
          <w:noProof/>
        </w:rPr>
      </w:pPr>
      <w:r w:rsidRPr="00693344">
        <w:rPr>
          <w:noProof/>
        </w:rPr>
        <w:t>Marsh, O.C., 1879, Notice of new Jurassic reptiles: American Journal of Science (Series 3), v. 18, p. 501–505.</w:t>
      </w:r>
    </w:p>
    <w:p w14:paraId="15B9519A" w14:textId="77777777" w:rsidR="00D361E3" w:rsidRPr="00693344" w:rsidRDefault="00D361E3" w:rsidP="00693344">
      <w:pPr>
        <w:pStyle w:val="EndNoteBibliography"/>
        <w:ind w:left="720" w:hanging="720"/>
        <w:rPr>
          <w:noProof/>
        </w:rPr>
      </w:pPr>
      <w:r w:rsidRPr="00693344">
        <w:rPr>
          <w:noProof/>
        </w:rPr>
        <w:t>Marsh, O.C., 1881, Principal characters of American Jurassic dinosaurs. Part V: American Journal of Science (Series 3), v. 21, p. 417–423.</w:t>
      </w:r>
    </w:p>
    <w:p w14:paraId="017C3A0B" w14:textId="77777777" w:rsidR="00D361E3" w:rsidRPr="00693344" w:rsidRDefault="00D361E3" w:rsidP="00693344">
      <w:pPr>
        <w:pStyle w:val="EndNoteBibliography"/>
        <w:ind w:left="720" w:hanging="720"/>
        <w:rPr>
          <w:noProof/>
        </w:rPr>
      </w:pPr>
      <w:r w:rsidRPr="00693344">
        <w:rPr>
          <w:noProof/>
        </w:rPr>
        <w:t>Marsh, O.C., 1885, Names of extinct reptiles: American Journal of Science (Series 3), v. 29, p. 169.</w:t>
      </w:r>
    </w:p>
    <w:p w14:paraId="15CB7B36" w14:textId="77777777" w:rsidR="00D361E3" w:rsidRPr="00693344" w:rsidRDefault="00D361E3" w:rsidP="00693344">
      <w:pPr>
        <w:pStyle w:val="EndNoteBibliography"/>
        <w:ind w:left="720" w:hanging="720"/>
        <w:rPr>
          <w:noProof/>
        </w:rPr>
      </w:pPr>
      <w:r w:rsidRPr="00693344">
        <w:rPr>
          <w:noProof/>
        </w:rPr>
        <w:t>Marsh, O.C., 1889, Comparison of the principal forms of the Dinosauria of Europe and America: American Journal of Science (Series 3), v. 37, p. 323–331.</w:t>
      </w:r>
    </w:p>
    <w:p w14:paraId="3A427779" w14:textId="77777777" w:rsidR="00D361E3" w:rsidRPr="00693344" w:rsidRDefault="00D361E3" w:rsidP="00693344">
      <w:pPr>
        <w:pStyle w:val="EndNoteBibliography"/>
        <w:ind w:left="720" w:hanging="720"/>
        <w:rPr>
          <w:noProof/>
        </w:rPr>
      </w:pPr>
      <w:r w:rsidRPr="00693344">
        <w:rPr>
          <w:noProof/>
        </w:rPr>
        <w:t>Maryanska, T., and Osmolska, H., 1974, Pachycephalosauria, a new suborder of ornithischian dinosaurs: Palaeontologia Polonica, v. 30, p. 45–102.</w:t>
      </w:r>
    </w:p>
    <w:p w14:paraId="22EE2C6C" w14:textId="77777777" w:rsidR="00D361E3" w:rsidRPr="00693344" w:rsidRDefault="00D361E3" w:rsidP="00693344">
      <w:pPr>
        <w:pStyle w:val="EndNoteBibliography"/>
        <w:ind w:left="720" w:hanging="720"/>
        <w:rPr>
          <w:noProof/>
        </w:rPr>
      </w:pPr>
      <w:r w:rsidRPr="00693344">
        <w:rPr>
          <w:noProof/>
        </w:rPr>
        <w:t>Matheron, M.P., 1869, Note sur les reptiles fossiles des depots fluvio-lacustres cretaces du bassin a lignite de Fuveau: Bulletin de la Societe Geologique de France (Series 2), v. 26, p. 781–795.</w:t>
      </w:r>
    </w:p>
    <w:p w14:paraId="262AE3BB" w14:textId="77777777" w:rsidR="00D361E3" w:rsidRPr="00693344" w:rsidRDefault="00D361E3" w:rsidP="00693344">
      <w:pPr>
        <w:pStyle w:val="EndNoteBibliography"/>
        <w:ind w:left="720" w:hanging="720"/>
        <w:rPr>
          <w:noProof/>
        </w:rPr>
      </w:pPr>
      <w:r w:rsidRPr="00693344">
        <w:rPr>
          <w:noProof/>
        </w:rPr>
        <w:t xml:space="preserve">Milner, A.R., and Norman, D.B., 1984, The biogeography of advanced ornithopod dinosaurs (Archosauria: Ornithischia) - a cladistic-vicariance model, </w:t>
      </w:r>
      <w:r w:rsidRPr="00693344">
        <w:rPr>
          <w:i/>
          <w:noProof/>
        </w:rPr>
        <w:t xml:space="preserve">in </w:t>
      </w:r>
      <w:r w:rsidRPr="00693344">
        <w:rPr>
          <w:noProof/>
        </w:rPr>
        <w:t>Reif, W.-E. and Westphal, F., eds., Third Symposium on Mesozoic Terrestrial Ecosystems, Short Papers: Tubingen, Attempto Verlag, p. 145–150.</w:t>
      </w:r>
    </w:p>
    <w:p w14:paraId="566F5520" w14:textId="77777777" w:rsidR="00D361E3" w:rsidRPr="00693344" w:rsidRDefault="00D361E3" w:rsidP="00693344">
      <w:pPr>
        <w:pStyle w:val="EndNoteBibliography"/>
        <w:ind w:left="720" w:hanging="720"/>
        <w:rPr>
          <w:noProof/>
        </w:rPr>
      </w:pPr>
      <w:r w:rsidRPr="00693344">
        <w:rPr>
          <w:noProof/>
        </w:rPr>
        <w:t>Mirande, J.M., 2009, Weighted parsimony phylogeny of the family Characidae (Teleostei: Characiformes): Cladistics, v. 25, p. 574–613.</w:t>
      </w:r>
    </w:p>
    <w:p w14:paraId="08217E73" w14:textId="77777777" w:rsidR="00D361E3" w:rsidRPr="00693344" w:rsidRDefault="00D361E3" w:rsidP="00693344">
      <w:pPr>
        <w:pStyle w:val="EndNoteBibliography"/>
        <w:ind w:left="720" w:hanging="720"/>
        <w:rPr>
          <w:noProof/>
        </w:rPr>
      </w:pPr>
      <w:r w:rsidRPr="00693344">
        <w:rPr>
          <w:noProof/>
        </w:rPr>
        <w:t xml:space="preserve">Molnar, R.E., 1996, Observations on the Australian ornithopod dinosaur </w:t>
      </w:r>
      <w:r w:rsidRPr="00693344">
        <w:rPr>
          <w:i/>
          <w:noProof/>
        </w:rPr>
        <w:t>Muttaburrasaurus</w:t>
      </w:r>
      <w:r w:rsidRPr="00693344">
        <w:rPr>
          <w:noProof/>
        </w:rPr>
        <w:t>: Memoirs of the Queensland Museum, v. 39, p. 639–652.</w:t>
      </w:r>
    </w:p>
    <w:p w14:paraId="07FCC2BE" w14:textId="77777777" w:rsidR="00D361E3" w:rsidRPr="00693344" w:rsidRDefault="00D361E3" w:rsidP="00693344">
      <w:pPr>
        <w:pStyle w:val="EndNoteBibliography"/>
        <w:ind w:left="720" w:hanging="720"/>
        <w:rPr>
          <w:noProof/>
        </w:rPr>
      </w:pPr>
      <w:r w:rsidRPr="00693344">
        <w:rPr>
          <w:noProof/>
        </w:rPr>
        <w:t>Nopcsa, F., 1915, Die dinosaurier der Siebenbürgischen landesteile Ungarns: Mitteilungen aus dem Jahrbuch der Ungarischen Geologischen Reichsanstalt, Budapest, v. 23, p. 1–26.</w:t>
      </w:r>
    </w:p>
    <w:p w14:paraId="06C7B903" w14:textId="77777777" w:rsidR="00D361E3" w:rsidRPr="00693344" w:rsidRDefault="00D361E3" w:rsidP="00693344">
      <w:pPr>
        <w:pStyle w:val="EndNoteBibliography"/>
        <w:ind w:left="720" w:hanging="720"/>
        <w:rPr>
          <w:noProof/>
        </w:rPr>
      </w:pPr>
      <w:r w:rsidRPr="00693344">
        <w:rPr>
          <w:noProof/>
        </w:rPr>
        <w:t xml:space="preserve">Norman, D.B., 2011, On the osteology of the lower Wealden (Valanginian) ornithopod </w:t>
      </w:r>
      <w:r w:rsidRPr="00693344">
        <w:rPr>
          <w:i/>
          <w:noProof/>
        </w:rPr>
        <w:t>Barilium dawsoni</w:t>
      </w:r>
      <w:r w:rsidRPr="00693344">
        <w:rPr>
          <w:noProof/>
        </w:rPr>
        <w:t xml:space="preserve"> (Iguanodontia: Styracosterna): Special Papers in Palaeontology, v. 86, p. 165–194.</w:t>
      </w:r>
    </w:p>
    <w:p w14:paraId="37114E3B" w14:textId="77777777" w:rsidR="00D361E3" w:rsidRPr="00693344" w:rsidRDefault="00D361E3" w:rsidP="00693344">
      <w:pPr>
        <w:pStyle w:val="EndNoteBibliography"/>
        <w:ind w:left="720" w:hanging="720"/>
        <w:rPr>
          <w:noProof/>
        </w:rPr>
      </w:pPr>
      <w:r w:rsidRPr="00693344">
        <w:rPr>
          <w:noProof/>
        </w:rPr>
        <w:t xml:space="preserve">Norman, D.B., 2012, Iguanodontian taxa (Dinosauria: Ornithischia) from the Lower Cretaceous of England and Belgium, </w:t>
      </w:r>
      <w:r w:rsidRPr="00693344">
        <w:rPr>
          <w:i/>
          <w:noProof/>
        </w:rPr>
        <w:t xml:space="preserve">in </w:t>
      </w:r>
      <w:r w:rsidRPr="00693344">
        <w:rPr>
          <w:noProof/>
        </w:rPr>
        <w:t>Godefroit, P., ed., Bernissart Dinosaurs and Early Cretaceous Terrestrial Ecosystems: Bloomington &amp; Indianapolis, Indiana University Press, p. 174–212.</w:t>
      </w:r>
    </w:p>
    <w:p w14:paraId="2DF2F25E" w14:textId="77777777" w:rsidR="00D361E3" w:rsidRPr="00693344" w:rsidRDefault="00D361E3" w:rsidP="00693344">
      <w:pPr>
        <w:pStyle w:val="EndNoteBibliography"/>
        <w:ind w:left="720" w:hanging="720"/>
        <w:rPr>
          <w:noProof/>
        </w:rPr>
      </w:pPr>
      <w:r w:rsidRPr="00693344">
        <w:rPr>
          <w:noProof/>
        </w:rPr>
        <w:t>Norman, D.B., 2013, On the taxonomy and diversity of Wealden iguanodontian dinosaurs (Ornithischia: Ornithopoda): Revue de Paléobiologie, v. 32, p. 385–404.</w:t>
      </w:r>
    </w:p>
    <w:p w14:paraId="5C48DE2F" w14:textId="77777777" w:rsidR="00D361E3" w:rsidRPr="00693344" w:rsidRDefault="00D361E3" w:rsidP="00693344">
      <w:pPr>
        <w:pStyle w:val="EndNoteBibliography"/>
        <w:ind w:left="720" w:hanging="720"/>
        <w:rPr>
          <w:noProof/>
        </w:rPr>
      </w:pPr>
      <w:r w:rsidRPr="00693344">
        <w:rPr>
          <w:noProof/>
        </w:rPr>
        <w:t xml:space="preserve">Norman, D.B., 2014, Iguanodonts from the Wealden of England: do they contribute to the discussion concerning hadrosaur origins?, </w:t>
      </w:r>
      <w:r w:rsidRPr="00693344">
        <w:rPr>
          <w:i/>
          <w:noProof/>
        </w:rPr>
        <w:t xml:space="preserve">in </w:t>
      </w:r>
      <w:r w:rsidRPr="00693344">
        <w:rPr>
          <w:noProof/>
        </w:rPr>
        <w:t>Eberth, D.A. and Evans, D.C., eds., Hadrosaurs: Bloomington &amp; Indianapolis, Indiana University Press, p. 10–43.</w:t>
      </w:r>
    </w:p>
    <w:p w14:paraId="72808956" w14:textId="77777777" w:rsidR="00D361E3" w:rsidRPr="00693344" w:rsidRDefault="00D361E3" w:rsidP="00693344">
      <w:pPr>
        <w:pStyle w:val="EndNoteBibliography"/>
        <w:ind w:left="720" w:hanging="720"/>
        <w:rPr>
          <w:noProof/>
        </w:rPr>
      </w:pPr>
      <w:r w:rsidRPr="00693344">
        <w:rPr>
          <w:noProof/>
        </w:rPr>
        <w:t xml:space="preserve">Norman, D.B., 2015, On the history, osteology, and systematic position of the Wealden (Hastings group) dinosaur </w:t>
      </w:r>
      <w:r w:rsidRPr="00693344">
        <w:rPr>
          <w:i/>
          <w:noProof/>
        </w:rPr>
        <w:t>Hypselospinus</w:t>
      </w:r>
      <w:r w:rsidRPr="00693344">
        <w:rPr>
          <w:noProof/>
        </w:rPr>
        <w:t xml:space="preserve"> </w:t>
      </w:r>
      <w:r w:rsidRPr="00693344">
        <w:rPr>
          <w:i/>
          <w:noProof/>
        </w:rPr>
        <w:t>fittoni</w:t>
      </w:r>
      <w:r w:rsidRPr="00693344">
        <w:rPr>
          <w:noProof/>
        </w:rPr>
        <w:t xml:space="preserve"> (Iguanodontia: Styracosterna): Zoological Journal of the Linnean Society, v. 173, p. 92–189.</w:t>
      </w:r>
    </w:p>
    <w:p w14:paraId="4821A765" w14:textId="77777777" w:rsidR="00D361E3" w:rsidRPr="00693344" w:rsidRDefault="00D361E3" w:rsidP="00693344">
      <w:pPr>
        <w:pStyle w:val="EndNoteBibliography"/>
        <w:ind w:left="720" w:hanging="720"/>
        <w:rPr>
          <w:noProof/>
        </w:rPr>
      </w:pPr>
      <w:r w:rsidRPr="00693344">
        <w:rPr>
          <w:noProof/>
        </w:rPr>
        <w:t xml:space="preserve">Norman, D.B., Witmer, L.M., and Weishampel, D.B., 2004, Basal Ornithischia, </w:t>
      </w:r>
      <w:r w:rsidRPr="00693344">
        <w:rPr>
          <w:i/>
          <w:noProof/>
        </w:rPr>
        <w:t xml:space="preserve">in </w:t>
      </w:r>
      <w:r w:rsidRPr="00693344">
        <w:rPr>
          <w:noProof/>
        </w:rPr>
        <w:t>Weishampel, D.B., Dodson, P., and Osmólska, H., eds., The Dinosauria (2nd edition): Berkeley, University of California Press, p. 325–334.</w:t>
      </w:r>
    </w:p>
    <w:p w14:paraId="4E1FB0F9" w14:textId="77777777" w:rsidR="00D361E3" w:rsidRPr="00693344" w:rsidRDefault="00D361E3" w:rsidP="00693344">
      <w:pPr>
        <w:pStyle w:val="EndNoteBibliography"/>
        <w:ind w:left="720" w:hanging="720"/>
        <w:rPr>
          <w:noProof/>
        </w:rPr>
      </w:pPr>
      <w:r w:rsidRPr="00693344">
        <w:rPr>
          <w:noProof/>
        </w:rPr>
        <w:t>Novas, F.E., Cambiaso, A.V., and Ambrosio, A., 2004, A new basal iguanodontian (Dinosauria, Ornithischia) from the Upper Cretaceous of Patagonia: Ameghiniana, v. 41, p. 75–82.</w:t>
      </w:r>
    </w:p>
    <w:p w14:paraId="30D50DC9" w14:textId="77777777" w:rsidR="00D361E3" w:rsidRPr="00693344" w:rsidRDefault="00D361E3" w:rsidP="00693344">
      <w:pPr>
        <w:pStyle w:val="EndNoteBibliography"/>
        <w:ind w:left="720" w:hanging="720"/>
        <w:rPr>
          <w:noProof/>
        </w:rPr>
      </w:pPr>
      <w:r w:rsidRPr="00693344">
        <w:rPr>
          <w:noProof/>
        </w:rPr>
        <w:t>Ostrom, J.H., 1970, Stratigraphy and paleontology of the Cloverly Formation (Lower Cretaceous) of the Bighorn Basin Area, Wyoming and Montana: Bulletin of the Peabody Museum of Natural History, v. 35, p. 1–234.</w:t>
      </w:r>
    </w:p>
    <w:p w14:paraId="787E9CE0" w14:textId="77777777" w:rsidR="00D361E3" w:rsidRPr="00693344" w:rsidRDefault="00D361E3" w:rsidP="00693344">
      <w:pPr>
        <w:pStyle w:val="EndNoteBibliography"/>
        <w:ind w:left="720" w:hanging="720"/>
        <w:rPr>
          <w:noProof/>
        </w:rPr>
      </w:pPr>
      <w:r w:rsidRPr="00693344">
        <w:rPr>
          <w:noProof/>
        </w:rPr>
        <w:t xml:space="preserve">Parks, W.A., 1926, </w:t>
      </w:r>
      <w:r w:rsidRPr="00693344">
        <w:rPr>
          <w:i/>
          <w:noProof/>
        </w:rPr>
        <w:t>Thescelosaurus warreni</w:t>
      </w:r>
      <w:r w:rsidRPr="00693344">
        <w:rPr>
          <w:noProof/>
        </w:rPr>
        <w:t>, a new species of orthopodous dinosaur from the Edmonton Formation of Alberta: University of Toronto Studies, Geological Series, v. 21, p. 1–42.</w:t>
      </w:r>
    </w:p>
    <w:p w14:paraId="2C553ACE" w14:textId="77777777" w:rsidR="00D361E3" w:rsidRPr="00693344" w:rsidRDefault="00D361E3" w:rsidP="00693344">
      <w:pPr>
        <w:pStyle w:val="EndNoteBibliography"/>
        <w:ind w:left="720" w:hanging="720"/>
        <w:rPr>
          <w:noProof/>
        </w:rPr>
      </w:pPr>
      <w:r w:rsidRPr="00693344">
        <w:rPr>
          <w:noProof/>
        </w:rPr>
        <w:t xml:space="preserve">Perle, A., Maryanska, T., and Osmolska, H., 1982, </w:t>
      </w:r>
      <w:r w:rsidRPr="00693344">
        <w:rPr>
          <w:i/>
          <w:noProof/>
        </w:rPr>
        <w:t>Goyocephale lattimorei</w:t>
      </w:r>
      <w:r w:rsidRPr="00693344">
        <w:rPr>
          <w:noProof/>
        </w:rPr>
        <w:t xml:space="preserve"> gen. et sp. n., a new flat-headed pachycephalosaur (Ornithischia, Dinosauria) from the Upper Cretaceous of Mongolia: Acta Palaeontologica Polonica, v. 27, p. 115–127.</w:t>
      </w:r>
    </w:p>
    <w:p w14:paraId="5CBDCD5F" w14:textId="77777777" w:rsidR="00D361E3" w:rsidRPr="00693344" w:rsidRDefault="00D361E3" w:rsidP="00693344">
      <w:pPr>
        <w:pStyle w:val="EndNoteBibliography"/>
        <w:ind w:left="720" w:hanging="720"/>
        <w:rPr>
          <w:noProof/>
        </w:rPr>
      </w:pPr>
      <w:r w:rsidRPr="00693344">
        <w:rPr>
          <w:noProof/>
        </w:rPr>
        <w:t>Rich, T.H., and Rich, P.V., 1989, Polar dinosaurs and biotas of the Early Cretaceous of southeastern Australia: National Geographic Research, v. 5, p. 15–53.</w:t>
      </w:r>
    </w:p>
    <w:p w14:paraId="787C9BDC" w14:textId="77777777" w:rsidR="00D361E3" w:rsidRPr="00693344" w:rsidRDefault="00D361E3" w:rsidP="00693344">
      <w:pPr>
        <w:pStyle w:val="EndNoteBibliography"/>
        <w:ind w:left="720" w:hanging="720"/>
        <w:rPr>
          <w:noProof/>
        </w:rPr>
      </w:pPr>
      <w:r w:rsidRPr="00693344">
        <w:rPr>
          <w:noProof/>
        </w:rPr>
        <w:t>Rivera-Sylva, H.E., Frey, E., Stinnesbeck, W., Amezcua, N., and Flores Huerta, D., 2018, First occurrence of Parksosauridae in Mexico, from the Cerro del Pueblo Formation (Late Cretaceous; late Campanian) at Las Águilas, Coahuila: Boletín de la Sociedad Geológica Mexicana, v. 70, p. 779–784.</w:t>
      </w:r>
    </w:p>
    <w:p w14:paraId="5F744BC5" w14:textId="77777777" w:rsidR="00D361E3" w:rsidRPr="00693344" w:rsidRDefault="00D361E3" w:rsidP="00693344">
      <w:pPr>
        <w:pStyle w:val="EndNoteBibliography"/>
        <w:ind w:left="720" w:hanging="720"/>
        <w:rPr>
          <w:noProof/>
        </w:rPr>
      </w:pPr>
      <w:r w:rsidRPr="00693344">
        <w:rPr>
          <w:noProof/>
        </w:rPr>
        <w:t>Rogers, A.W., 1915, The occurrence of dinosaurs in Bushmanland: Transactions of the Royal Society of South Africa, v. 5, p. 265–268.</w:t>
      </w:r>
    </w:p>
    <w:p w14:paraId="0B8BA05B" w14:textId="77777777" w:rsidR="00D361E3" w:rsidRPr="00693344" w:rsidRDefault="00D361E3" w:rsidP="00693344">
      <w:pPr>
        <w:pStyle w:val="EndNoteBibliography"/>
        <w:ind w:left="720" w:hanging="720"/>
        <w:rPr>
          <w:noProof/>
        </w:rPr>
      </w:pPr>
      <w:r w:rsidRPr="00693344">
        <w:rPr>
          <w:noProof/>
        </w:rPr>
        <w:t>Rozadilla, S., Agnolin, F.L., Novas, F.E., Aranciaga Rolando, A.M., Motta, M.J., Lirio, J.M., and Isasi, M.P., 2016, A new ornithopod (Dinosauria, Ornithischia) from the Upper Cretaceous of Antarctica and its palaeobiogeographical implications: Cretaceous Research, v. 57, p. 311–324.</w:t>
      </w:r>
    </w:p>
    <w:p w14:paraId="06938A18" w14:textId="77777777" w:rsidR="00D361E3" w:rsidRPr="00693344" w:rsidRDefault="00D361E3" w:rsidP="00693344">
      <w:pPr>
        <w:pStyle w:val="EndNoteBibliography"/>
        <w:ind w:left="720" w:hanging="720"/>
        <w:rPr>
          <w:noProof/>
        </w:rPr>
      </w:pPr>
      <w:r w:rsidRPr="00693344">
        <w:rPr>
          <w:noProof/>
        </w:rPr>
        <w:t xml:space="preserve">Ruiz-Omeñaca, J.I., Pereda Suberbiola, X., and Galton, P.M., 2006, </w:t>
      </w:r>
      <w:r w:rsidRPr="00693344">
        <w:rPr>
          <w:i/>
          <w:noProof/>
        </w:rPr>
        <w:t>Callovosaurus leedsi</w:t>
      </w:r>
      <w:r w:rsidRPr="00693344">
        <w:rPr>
          <w:noProof/>
        </w:rPr>
        <w:t xml:space="preserve">, the earliest dryosaurid dinosaur (Ornithschia: Euornithopoda) from the Middle Jurassic of England, </w:t>
      </w:r>
      <w:r w:rsidRPr="00693344">
        <w:rPr>
          <w:i/>
          <w:noProof/>
        </w:rPr>
        <w:t xml:space="preserve">in </w:t>
      </w:r>
      <w:r w:rsidRPr="00693344">
        <w:rPr>
          <w:noProof/>
        </w:rPr>
        <w:t>Carpenter, K., ed., Horns and Beaks: ceratopsian and ornithopod dinosaurs: Bloomington &amp; Indianapolis, Indiana University Press, p. 3–16.</w:t>
      </w:r>
    </w:p>
    <w:p w14:paraId="652575AF" w14:textId="77777777" w:rsidR="00D361E3" w:rsidRPr="00693344" w:rsidRDefault="00D361E3" w:rsidP="00693344">
      <w:pPr>
        <w:pStyle w:val="EndNoteBibliography"/>
        <w:ind w:left="720" w:hanging="720"/>
        <w:rPr>
          <w:noProof/>
        </w:rPr>
      </w:pPr>
      <w:r w:rsidRPr="00693344">
        <w:rPr>
          <w:noProof/>
        </w:rPr>
        <w:t>Seeley, H.G., 1887, On the classification of the fossil animals commonly named Dinosauria: Proceedings of the Royal Society of London, v. 43, p. 165–171.</w:t>
      </w:r>
    </w:p>
    <w:p w14:paraId="6920B8E7" w14:textId="77777777" w:rsidR="00D361E3" w:rsidRPr="00693344" w:rsidRDefault="00D361E3" w:rsidP="00693344">
      <w:pPr>
        <w:pStyle w:val="EndNoteBibliography"/>
        <w:ind w:left="720" w:hanging="720"/>
        <w:rPr>
          <w:noProof/>
        </w:rPr>
      </w:pPr>
      <w:r w:rsidRPr="00693344">
        <w:rPr>
          <w:noProof/>
        </w:rPr>
        <w:t>Sereno, P.C., 1986, Phylogeny of the bird-hipped dinosaurs (order Ornithischia): National Geographic Research, v. 2, p. 234–256.</w:t>
      </w:r>
    </w:p>
    <w:p w14:paraId="27625933" w14:textId="77777777" w:rsidR="00D361E3" w:rsidRPr="00693344" w:rsidRDefault="00D361E3" w:rsidP="00693344">
      <w:pPr>
        <w:pStyle w:val="EndNoteBibliography"/>
        <w:ind w:left="720" w:hanging="720"/>
        <w:rPr>
          <w:noProof/>
        </w:rPr>
      </w:pPr>
      <w:r w:rsidRPr="00693344">
        <w:rPr>
          <w:noProof/>
        </w:rPr>
        <w:t>Sereno, P.C., 1998, A rationale for phylogenetic definitions, with application to the higher-level taxonomy of Dinosauria: Neues Jahrbuch für Geologie und Paläontologie, Abhandlungen, v. 210, p. 41–83.</w:t>
      </w:r>
    </w:p>
    <w:p w14:paraId="0304C6DB" w14:textId="77777777" w:rsidR="00D361E3" w:rsidRPr="00693344" w:rsidRDefault="00D361E3" w:rsidP="00693344">
      <w:pPr>
        <w:pStyle w:val="EndNoteBibliography"/>
        <w:ind w:left="720" w:hanging="720"/>
        <w:rPr>
          <w:noProof/>
        </w:rPr>
      </w:pPr>
      <w:r w:rsidRPr="00693344">
        <w:rPr>
          <w:noProof/>
        </w:rPr>
        <w:t>Sereno, P.C., 1999, Definitions in phylogenetic taxonomy: critique and rationale: Systematic Biology, v. 48, p. 329–351.</w:t>
      </w:r>
    </w:p>
    <w:p w14:paraId="694D846A" w14:textId="77777777" w:rsidR="00D361E3" w:rsidRPr="00693344" w:rsidRDefault="00D361E3" w:rsidP="00693344">
      <w:pPr>
        <w:pStyle w:val="EndNoteBibliography"/>
        <w:ind w:left="720" w:hanging="720"/>
        <w:rPr>
          <w:noProof/>
        </w:rPr>
      </w:pPr>
      <w:r w:rsidRPr="00693344">
        <w:rPr>
          <w:noProof/>
        </w:rPr>
        <w:t>Sereno, P.C., 2005, Stem Archosauria - TaxonSearch. TaxonSearch - database for suprageneric taxa &amp; phylogenetic definitions.</w:t>
      </w:r>
    </w:p>
    <w:p w14:paraId="5DDDD3F0" w14:textId="77777777" w:rsidR="00D361E3" w:rsidRPr="00693344" w:rsidRDefault="00D361E3" w:rsidP="00693344">
      <w:pPr>
        <w:pStyle w:val="EndNoteBibliography"/>
        <w:ind w:left="720" w:hanging="720"/>
        <w:rPr>
          <w:noProof/>
        </w:rPr>
      </w:pPr>
      <w:r w:rsidRPr="00693344">
        <w:rPr>
          <w:noProof/>
        </w:rPr>
        <w:t xml:space="preserve">Sternberg, C.M., 1937, Classification of </w:t>
      </w:r>
      <w:r w:rsidRPr="00693344">
        <w:rPr>
          <w:i/>
          <w:noProof/>
        </w:rPr>
        <w:t>Thescelosaurus</w:t>
      </w:r>
      <w:r w:rsidRPr="00693344">
        <w:rPr>
          <w:noProof/>
        </w:rPr>
        <w:t>, with a description of a new species, Proceedings of the Geological Society of America, p. 375.</w:t>
      </w:r>
    </w:p>
    <w:p w14:paraId="22189194" w14:textId="77777777" w:rsidR="00D361E3" w:rsidRPr="00693344" w:rsidRDefault="00D361E3" w:rsidP="00693344">
      <w:pPr>
        <w:pStyle w:val="EndNoteBibliography"/>
        <w:ind w:left="720" w:hanging="720"/>
        <w:rPr>
          <w:noProof/>
        </w:rPr>
      </w:pPr>
      <w:r w:rsidRPr="00693344">
        <w:rPr>
          <w:noProof/>
        </w:rPr>
        <w:t>Tanoue, K., You, H., and Dodson, P., 2009, Comparative anatomy of selected basal ceratopsian dentitions: Canadian Journal of Earth Sciences, v. 46, p. 425–439.</w:t>
      </w:r>
    </w:p>
    <w:p w14:paraId="2395AA1E" w14:textId="77777777" w:rsidR="00D361E3" w:rsidRPr="00693344" w:rsidRDefault="00D361E3" w:rsidP="00693344">
      <w:pPr>
        <w:pStyle w:val="EndNoteBibliography"/>
        <w:ind w:left="720" w:hanging="720"/>
        <w:rPr>
          <w:noProof/>
        </w:rPr>
      </w:pPr>
      <w:r w:rsidRPr="00693344">
        <w:rPr>
          <w:noProof/>
        </w:rPr>
        <w:t xml:space="preserve">Thomas, D.A., 2015, The cranial anatomy of </w:t>
      </w:r>
      <w:r w:rsidRPr="00693344">
        <w:rPr>
          <w:i/>
          <w:noProof/>
        </w:rPr>
        <w:t>Tenontosaurus</w:t>
      </w:r>
      <w:r w:rsidRPr="00693344">
        <w:rPr>
          <w:noProof/>
        </w:rPr>
        <w:t xml:space="preserve"> </w:t>
      </w:r>
      <w:r w:rsidRPr="00693344">
        <w:rPr>
          <w:i/>
          <w:noProof/>
        </w:rPr>
        <w:t>tilletti</w:t>
      </w:r>
      <w:r w:rsidRPr="00693344">
        <w:rPr>
          <w:noProof/>
        </w:rPr>
        <w:t xml:space="preserve"> Ostrom, 1970 (Dinosauria, Ornithopoda): Palaeontologia Electronica: v. 18, 37A, doi: 10.26879/450.</w:t>
      </w:r>
    </w:p>
    <w:p w14:paraId="3FAC0216" w14:textId="77777777" w:rsidR="00D361E3" w:rsidRPr="00693344" w:rsidRDefault="00D361E3" w:rsidP="00693344">
      <w:pPr>
        <w:pStyle w:val="EndNoteBibliography"/>
        <w:ind w:left="720" w:hanging="720"/>
        <w:rPr>
          <w:noProof/>
        </w:rPr>
      </w:pPr>
      <w:r w:rsidRPr="00693344">
        <w:rPr>
          <w:noProof/>
        </w:rPr>
        <w:t xml:space="preserve">Turner, C.E., and Peterson, F., 1999, Biostratigraphy of dinosaurs in the Upper Jurassic Morrison Formation of the Western Interior, U.S.A, </w:t>
      </w:r>
      <w:r w:rsidRPr="00693344">
        <w:rPr>
          <w:i/>
          <w:noProof/>
        </w:rPr>
        <w:t xml:space="preserve">in </w:t>
      </w:r>
      <w:r w:rsidRPr="00693344">
        <w:rPr>
          <w:noProof/>
        </w:rPr>
        <w:t>Gillette, D.D., ed., Vertebrate Paleontology in Utah: Salt Lake City, Utah Geological Survey, p. 77–114.</w:t>
      </w:r>
    </w:p>
    <w:p w14:paraId="44D8E0E1" w14:textId="77777777" w:rsidR="00D361E3" w:rsidRPr="00693344" w:rsidRDefault="00D361E3" w:rsidP="00693344">
      <w:pPr>
        <w:pStyle w:val="EndNoteBibliography"/>
        <w:ind w:left="720" w:hanging="720"/>
        <w:rPr>
          <w:noProof/>
        </w:rPr>
      </w:pPr>
      <w:r w:rsidRPr="00693344">
        <w:rPr>
          <w:noProof/>
        </w:rPr>
        <w:t>Vajda, V., and Raine, J.I., 2010, A palynological investigation of plesiosaur-bearing rocks from the Upper Cretaceous Tahora Formation, Mangahouanga, New Zealand: Alcheringa, v. 34, p. 359–374.</w:t>
      </w:r>
    </w:p>
    <w:p w14:paraId="4F37FE3D" w14:textId="77777777" w:rsidR="00D361E3" w:rsidRPr="00693344" w:rsidRDefault="00D361E3" w:rsidP="00693344">
      <w:pPr>
        <w:pStyle w:val="EndNoteBibliography"/>
        <w:ind w:left="720" w:hanging="720"/>
        <w:rPr>
          <w:noProof/>
        </w:rPr>
      </w:pPr>
      <w:r w:rsidRPr="00693344">
        <w:rPr>
          <w:noProof/>
        </w:rPr>
        <w:t>Van Itterbeeck, J., Markevich, V.S., and Codrea, V.A., 2005, Palynostratigraphy of the Maastrichtian dinosaur- and mammal sites of the Râul Mare and Barbat Valleys (Haţeg Basin, Romania): Geologica Carpathica, v. 56, p. 137–147.</w:t>
      </w:r>
    </w:p>
    <w:p w14:paraId="32215695" w14:textId="77777777" w:rsidR="00D361E3" w:rsidRPr="00693344" w:rsidRDefault="00D361E3" w:rsidP="00693344">
      <w:pPr>
        <w:pStyle w:val="EndNoteBibliography"/>
        <w:ind w:left="720" w:hanging="720"/>
        <w:rPr>
          <w:noProof/>
        </w:rPr>
      </w:pPr>
      <w:r w:rsidRPr="00693344">
        <w:rPr>
          <w:noProof/>
        </w:rPr>
        <w:t xml:space="preserve">Weishampel, D.B., Jianu, C.-M., Csiki, Z., and Norman, D.B., 2003, Osteology and phylogeny of </w:t>
      </w:r>
      <w:r w:rsidRPr="00693344">
        <w:rPr>
          <w:i/>
          <w:noProof/>
        </w:rPr>
        <w:t>Zalmoxes</w:t>
      </w:r>
      <w:r w:rsidRPr="00693344">
        <w:rPr>
          <w:noProof/>
        </w:rPr>
        <w:t xml:space="preserve"> (n. g.), an unusual euornithopod dinosaur from the latest Cretaceous of Romania: Journal of Systematic Palaeontology, v. 1, p. 65–123.</w:t>
      </w:r>
    </w:p>
    <w:p w14:paraId="44036599" w14:textId="77777777" w:rsidR="00D361E3" w:rsidRPr="00693344" w:rsidRDefault="00D361E3" w:rsidP="00693344">
      <w:pPr>
        <w:pStyle w:val="EndNoteBibliography"/>
        <w:ind w:left="720" w:hanging="720"/>
        <w:rPr>
          <w:noProof/>
        </w:rPr>
      </w:pPr>
      <w:r w:rsidRPr="00693344">
        <w:rPr>
          <w:noProof/>
        </w:rPr>
        <w:t xml:space="preserve">Werning, S., 2012, The ontogenetic osteohistology of </w:t>
      </w:r>
      <w:r w:rsidRPr="00693344">
        <w:rPr>
          <w:i/>
          <w:noProof/>
        </w:rPr>
        <w:t>Tenontosaurus tilletti</w:t>
      </w:r>
      <w:r w:rsidRPr="00693344">
        <w:rPr>
          <w:noProof/>
        </w:rPr>
        <w:t>: PLoS ONE: v. 7, e33539, doi: 10.1371/journal.pone.0033539.</w:t>
      </w:r>
    </w:p>
    <w:p w14:paraId="515D85C2" w14:textId="77777777" w:rsidR="00D361E3" w:rsidRPr="00693344" w:rsidRDefault="00D361E3" w:rsidP="00693344">
      <w:pPr>
        <w:pStyle w:val="EndNoteBibliography"/>
        <w:ind w:left="720" w:hanging="720"/>
        <w:rPr>
          <w:noProof/>
        </w:rPr>
      </w:pPr>
      <w:r w:rsidRPr="00693344">
        <w:rPr>
          <w:noProof/>
        </w:rPr>
        <w:t>Wiffen, J., and Molnar, R.E., 1989, An Upper Cretaceous ornithopod from New Zealand: Geobios, v. 22, p. 531–536.</w:t>
      </w:r>
    </w:p>
    <w:p w14:paraId="0BE141E4" w14:textId="77777777" w:rsidR="00D361E3" w:rsidRPr="00693344" w:rsidRDefault="00D361E3" w:rsidP="00693344">
      <w:pPr>
        <w:pStyle w:val="EndNoteBibliography"/>
        <w:ind w:left="720" w:hanging="720"/>
        <w:rPr>
          <w:noProof/>
        </w:rPr>
      </w:pPr>
      <w:r w:rsidRPr="00693344">
        <w:rPr>
          <w:noProof/>
        </w:rPr>
        <w:t xml:space="preserve">Winkler, D.A., 2006, Ornithopod dinosaurs from the Early Cretaceous Trinity Group, Texas, USA, </w:t>
      </w:r>
      <w:r w:rsidRPr="00693344">
        <w:rPr>
          <w:i/>
          <w:noProof/>
        </w:rPr>
        <w:t xml:space="preserve">in </w:t>
      </w:r>
      <w:r w:rsidRPr="00693344">
        <w:rPr>
          <w:noProof/>
        </w:rPr>
        <w:t>Lü, J., Kobayashi, Y., Huang, D., and Lee, Y.-N., eds., Papers from the 2005 Heyuan International Dinosaur Symposium: Beijing, Geological Publishing House, p. 169–181.</w:t>
      </w:r>
    </w:p>
    <w:p w14:paraId="5BA97635" w14:textId="77777777" w:rsidR="00D361E3" w:rsidRPr="00693344" w:rsidRDefault="00D361E3" w:rsidP="00693344">
      <w:pPr>
        <w:pStyle w:val="EndNoteBibliography"/>
        <w:ind w:left="720" w:hanging="720"/>
        <w:rPr>
          <w:noProof/>
        </w:rPr>
      </w:pPr>
      <w:r w:rsidRPr="00693344">
        <w:rPr>
          <w:noProof/>
        </w:rPr>
        <w:t xml:space="preserve">Winkler, D.A., Murry, P.A., and Jacobs, L.L., 1997, A new species of </w:t>
      </w:r>
      <w:r w:rsidRPr="00693344">
        <w:rPr>
          <w:i/>
          <w:noProof/>
        </w:rPr>
        <w:t>Tenontosaurus</w:t>
      </w:r>
      <w:r w:rsidRPr="00693344">
        <w:rPr>
          <w:noProof/>
        </w:rPr>
        <w:t xml:space="preserve"> (Dinosauria: Ornithopoda) from the Early Cretaceous of Texas: Journal of Vertebrate Paleontology, v. 17, p. 330–348.</w:t>
      </w:r>
    </w:p>
    <w:p w14:paraId="0F28B9CE" w14:textId="77777777" w:rsidR="00D361E3" w:rsidRPr="00693344" w:rsidRDefault="00D361E3" w:rsidP="00693344">
      <w:pPr>
        <w:pStyle w:val="EndNoteBibliography"/>
        <w:ind w:left="720" w:hanging="720"/>
        <w:rPr>
          <w:noProof/>
        </w:rPr>
      </w:pPr>
      <w:r w:rsidRPr="00693344">
        <w:rPr>
          <w:noProof/>
        </w:rPr>
        <w:t>De Wit, M.C.J., Ward, J.D., and Spaggiari, R., 1992, A reappraisal of the Kangnas dinosaur site, Bushmanland, South Africa: South African Journal of Science, v. 88, p. 504–507.</w:t>
      </w:r>
    </w:p>
    <w:p w14:paraId="286CD28D" w14:textId="77777777" w:rsidR="00D361E3" w:rsidRPr="00693344" w:rsidRDefault="00D361E3" w:rsidP="00693344">
      <w:pPr>
        <w:pStyle w:val="EndNoteBibliography"/>
        <w:ind w:left="720" w:hanging="720"/>
        <w:rPr>
          <w:noProof/>
        </w:rPr>
      </w:pPr>
      <w:r w:rsidRPr="00693344">
        <w:rPr>
          <w:noProof/>
        </w:rPr>
        <w:t>Witmer, L.M., 1997, The evolution of the antorbital cavity of archosaurs: a study in soft-tissue reconstruction in the fossil record with an analysis of the function of pneumaticity: Society of Vertebrate Paleontology Memoir, (Journal of Vertebrate Paleontology 17, supplement to 1), v. 3, p. 1–73.</w:t>
      </w:r>
    </w:p>
    <w:p w14:paraId="71D64655" w14:textId="77777777" w:rsidR="00D361E3" w:rsidRPr="00693344" w:rsidRDefault="00D361E3" w:rsidP="00693344">
      <w:pPr>
        <w:pStyle w:val="EndNoteBibliography"/>
        <w:ind w:left="720" w:hanging="720"/>
        <w:rPr>
          <w:noProof/>
        </w:rPr>
      </w:pPr>
      <w:r w:rsidRPr="00693344">
        <w:rPr>
          <w:noProof/>
        </w:rPr>
        <w:t>Xu, X., Makovicky, P.J., Wang, X., Norell, M.A., and You, H., 2002, A ceratopsian dinosaur from China and the early evolution of Ceratopsia: Nature, v. 416, p. 314–317.</w:t>
      </w:r>
    </w:p>
    <w:p w14:paraId="44552649" w14:textId="77777777" w:rsidR="00D361E3" w:rsidRDefault="00D361E3" w:rsidP="00366C66">
      <w:pPr>
        <w:pStyle w:val="Heading1"/>
        <w:spacing w:line="360" w:lineRule="auto"/>
      </w:pPr>
    </w:p>
    <w:p w14:paraId="11AA9EA8" w14:textId="77777777" w:rsidR="000F42E1" w:rsidRDefault="000F42E1"/>
    <w:sectPr w:rsidR="000F42E1" w:rsidSect="00D361E3">
      <w:headerReference w:type="even" r:id="rId15"/>
      <w:headerReference w:type="default" r:id="rId16"/>
      <w:head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11EB4" w14:textId="77777777" w:rsidR="004A05B5" w:rsidRDefault="002F322D">
      <w:r>
        <w:separator/>
      </w:r>
    </w:p>
  </w:endnote>
  <w:endnote w:type="continuationSeparator" w:id="0">
    <w:p w14:paraId="50C4D4CB" w14:textId="77777777" w:rsidR="004A05B5" w:rsidRDefault="002F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4B73" w14:textId="77777777" w:rsidR="004A05B5" w:rsidRDefault="002F322D">
      <w:r>
        <w:separator/>
      </w:r>
    </w:p>
  </w:footnote>
  <w:footnote w:type="continuationSeparator" w:id="0">
    <w:p w14:paraId="0C5ECD0C" w14:textId="77777777" w:rsidR="004A05B5" w:rsidRDefault="002F3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805A" w14:textId="77777777" w:rsidR="00047E83" w:rsidRDefault="00D361E3" w:rsidP="00DE4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1D770" w14:textId="77777777" w:rsidR="00047E83" w:rsidRDefault="00D361E3" w:rsidP="007F7C9A">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DC295E3" w14:textId="77777777" w:rsidR="00047E83" w:rsidRDefault="00631BB1" w:rsidP="007F7C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36B5" w14:textId="77777777" w:rsidR="00047E83" w:rsidRDefault="00D361E3" w:rsidP="007F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BB1">
      <w:rPr>
        <w:rStyle w:val="PageNumber"/>
        <w:noProof/>
      </w:rPr>
      <w:t>1</w:t>
    </w:r>
    <w:r>
      <w:rPr>
        <w:rStyle w:val="PageNumber"/>
      </w:rPr>
      <w:fldChar w:fldCharType="end"/>
    </w:r>
  </w:p>
  <w:p w14:paraId="089FABFA" w14:textId="77777777" w:rsidR="00047E83" w:rsidRDefault="00D361E3" w:rsidP="007F7C9A">
    <w:pPr>
      <w:pStyle w:val="Header"/>
      <w:ind w:right="360"/>
    </w:pPr>
    <w:r>
      <w:t>Supplemental Text S1—Wonthaggi Formation Ornithopods</w:t>
    </w:r>
    <w:r w:rsidRPr="00703714">
      <w:t xml:space="preserve"> </w:t>
    </w:r>
    <w:r>
      <w:t>(Herne et 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4D7B" w14:textId="77777777" w:rsidR="00047E83" w:rsidRDefault="00D361E3" w:rsidP="00DE4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1728CC" w14:textId="77777777" w:rsidR="00047E83" w:rsidRDefault="00631BB1" w:rsidP="007F7C9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CC0"/>
    <w:multiLevelType w:val="hybridMultilevel"/>
    <w:tmpl w:val="168EB4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1&lt;/Suspended&gt;&lt;/ENInstantFormat&gt;"/>
  </w:docVars>
  <w:rsids>
    <w:rsidRoot w:val="00D361E3"/>
    <w:rsid w:val="000F42E1"/>
    <w:rsid w:val="00242694"/>
    <w:rsid w:val="002F322D"/>
    <w:rsid w:val="004A05B5"/>
    <w:rsid w:val="00631BB1"/>
    <w:rsid w:val="00791CA1"/>
    <w:rsid w:val="008444FD"/>
    <w:rsid w:val="00D361E3"/>
    <w:rsid w:val="00E9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81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3"/>
    <w:rPr>
      <w:rFonts w:ascii="Times New Roman" w:hAnsi="Times New Roman"/>
      <w:lang w:val="en-GB"/>
    </w:rPr>
  </w:style>
  <w:style w:type="paragraph" w:styleId="Heading1">
    <w:name w:val="heading 1"/>
    <w:basedOn w:val="Normal"/>
    <w:next w:val="Normal"/>
    <w:link w:val="Heading1Char"/>
    <w:uiPriority w:val="9"/>
    <w:qFormat/>
    <w:rsid w:val="00D361E3"/>
    <w:pPr>
      <w:outlineLvl w:val="0"/>
    </w:pPr>
    <w:rPr>
      <w:rFonts w:ascii="Calibri" w:hAnsi="Calibri"/>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AltShading">
    <w:name w:val="Style2 Alt Shading"/>
    <w:basedOn w:val="TableNormal"/>
    <w:uiPriority w:val="99"/>
    <w:rsid w:val="00D361E3"/>
    <w:rPr>
      <w:rFonts w:ascii="Times New Roman" w:eastAsia="ＭＳ 明朝" w:hAnsi="Times New Roman" w:cs="Times New Roman"/>
      <w:szCs w:val="20"/>
      <w:lang w:val="en-AU"/>
    </w:rPr>
    <w:tblPr>
      <w:tblStyleRowBandSize w:val="1"/>
      <w:tblInd w:w="0" w:type="dxa"/>
      <w:tblCellMar>
        <w:top w:w="0" w:type="dxa"/>
        <w:left w:w="108" w:type="dxa"/>
        <w:bottom w:w="0" w:type="dxa"/>
        <w:right w:w="108" w:type="dxa"/>
      </w:tblCellMar>
    </w:tblPr>
    <w:tblStylePr w:type="band2Horz">
      <w:tblPr/>
      <w:tcPr>
        <w:shd w:val="clear" w:color="auto" w:fill="D9D9D9" w:themeFill="background1" w:themeFillShade="D9"/>
      </w:tcPr>
    </w:tblStylePr>
  </w:style>
  <w:style w:type="table" w:customStyle="1" w:styleId="Style2Jay">
    <w:name w:val="Style2Jay"/>
    <w:basedOn w:val="TableNormal"/>
    <w:uiPriority w:val="99"/>
    <w:rsid w:val="00D361E3"/>
    <w:rPr>
      <w:rFonts w:ascii="Times New Roman" w:eastAsia="ＭＳ 明朝" w:hAnsi="Times New Roman" w:cs="Times New Roman"/>
      <w:szCs w:val="20"/>
      <w:lang w:val="en-AU"/>
    </w:rPr>
    <w:tblPr>
      <w:tblStyleRowBandSize w:val="1"/>
      <w:tblInd w:w="0" w:type="dxa"/>
      <w:tblCellMar>
        <w:top w:w="0" w:type="dxa"/>
        <w:left w:w="108" w:type="dxa"/>
        <w:bottom w:w="0" w:type="dxa"/>
        <w:right w:w="108" w:type="dxa"/>
      </w:tblCellMar>
    </w:tblPr>
    <w:tcPr>
      <w:shd w:val="clear" w:color="auto" w:fill="C0C0C0"/>
    </w:tcPr>
    <w:tblStylePr w:type="band1Horz">
      <w:tblPr/>
      <w:tcPr>
        <w:tcBorders>
          <w:top w:val="nil"/>
          <w:left w:val="nil"/>
          <w:bottom w:val="nil"/>
          <w:right w:val="nil"/>
          <w:insideH w:val="nil"/>
          <w:insideV w:val="nil"/>
          <w:tl2br w:val="nil"/>
          <w:tr2bl w:val="nil"/>
        </w:tcBorders>
        <w:shd w:val="clear" w:color="auto" w:fill="FFFFFF"/>
      </w:tcPr>
    </w:tblStylePr>
  </w:style>
  <w:style w:type="paragraph" w:customStyle="1" w:styleId="FadedReferences">
    <w:name w:val="Faded References"/>
    <w:basedOn w:val="Normal"/>
    <w:autoRedefine/>
    <w:qFormat/>
    <w:rsid w:val="00D361E3"/>
    <w:pPr>
      <w:ind w:left="600" w:right="-21"/>
      <w:jc w:val="both"/>
    </w:pPr>
    <w:rPr>
      <w:rFonts w:eastAsia="Times New Roman" w:cs="Times New Roman"/>
      <w:color w:val="808080"/>
      <w:sz w:val="20"/>
      <w:szCs w:val="20"/>
    </w:rPr>
  </w:style>
  <w:style w:type="character" w:customStyle="1" w:styleId="Heading1Char">
    <w:name w:val="Heading 1 Char"/>
    <w:basedOn w:val="DefaultParagraphFont"/>
    <w:link w:val="Heading1"/>
    <w:uiPriority w:val="9"/>
    <w:rsid w:val="00D361E3"/>
    <w:rPr>
      <w:rFonts w:ascii="Calibri" w:hAnsi="Calibri"/>
      <w:b/>
      <w:bCs/>
      <w:caps/>
      <w:sz w:val="26"/>
      <w:szCs w:val="26"/>
      <w:lang w:val="en-GB"/>
    </w:rPr>
  </w:style>
  <w:style w:type="paragraph" w:customStyle="1" w:styleId="bodytext1">
    <w:name w:val="body text 1"/>
    <w:basedOn w:val="Normal"/>
    <w:qFormat/>
    <w:rsid w:val="00D361E3"/>
    <w:pPr>
      <w:spacing w:before="120" w:after="120" w:line="480" w:lineRule="auto"/>
    </w:pPr>
    <w:rPr>
      <w:rFonts w:cs="Times New Roman"/>
      <w:lang w:val="en-AU"/>
    </w:rPr>
  </w:style>
  <w:style w:type="paragraph" w:styleId="FootnoteText">
    <w:name w:val="footnote text"/>
    <w:basedOn w:val="Normal"/>
    <w:link w:val="FootnoteTextChar"/>
    <w:uiPriority w:val="99"/>
    <w:unhideWhenUsed/>
    <w:rsid w:val="00D361E3"/>
    <w:rPr>
      <w:rFonts w:cs="Times New Roman"/>
      <w:lang w:val="en-AU"/>
    </w:rPr>
  </w:style>
  <w:style w:type="character" w:customStyle="1" w:styleId="FootnoteTextChar">
    <w:name w:val="Footnote Text Char"/>
    <w:basedOn w:val="DefaultParagraphFont"/>
    <w:link w:val="FootnoteText"/>
    <w:uiPriority w:val="99"/>
    <w:rsid w:val="00D361E3"/>
    <w:rPr>
      <w:rFonts w:ascii="Times New Roman" w:hAnsi="Times New Roman" w:cs="Times New Roman"/>
      <w:lang w:val="en-AU"/>
    </w:rPr>
  </w:style>
  <w:style w:type="character" w:styleId="FootnoteReference">
    <w:name w:val="footnote reference"/>
    <w:basedOn w:val="DefaultParagraphFont"/>
    <w:uiPriority w:val="99"/>
    <w:unhideWhenUsed/>
    <w:rsid w:val="00D361E3"/>
    <w:rPr>
      <w:vertAlign w:val="superscript"/>
    </w:rPr>
  </w:style>
  <w:style w:type="paragraph" w:styleId="BalloonText">
    <w:name w:val="Balloon Text"/>
    <w:basedOn w:val="Normal"/>
    <w:link w:val="BalloonTextChar"/>
    <w:uiPriority w:val="99"/>
    <w:semiHidden/>
    <w:unhideWhenUsed/>
    <w:rsid w:val="00D36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1E3"/>
    <w:rPr>
      <w:rFonts w:ascii="Lucida Grande" w:hAnsi="Lucida Grande" w:cs="Lucida Grande"/>
      <w:sz w:val="18"/>
      <w:szCs w:val="18"/>
      <w:lang w:val="en-GB"/>
    </w:rPr>
  </w:style>
  <w:style w:type="paragraph" w:styleId="TOC1">
    <w:name w:val="toc 1"/>
    <w:basedOn w:val="Normal"/>
    <w:next w:val="Normal"/>
    <w:autoRedefine/>
    <w:uiPriority w:val="39"/>
    <w:unhideWhenUsed/>
    <w:rsid w:val="00D361E3"/>
  </w:style>
  <w:style w:type="paragraph" w:styleId="TOC2">
    <w:name w:val="toc 2"/>
    <w:basedOn w:val="Normal"/>
    <w:next w:val="Normal"/>
    <w:autoRedefine/>
    <w:uiPriority w:val="39"/>
    <w:unhideWhenUsed/>
    <w:rsid w:val="00D361E3"/>
    <w:pPr>
      <w:ind w:left="240"/>
    </w:pPr>
  </w:style>
  <w:style w:type="paragraph" w:styleId="TOC3">
    <w:name w:val="toc 3"/>
    <w:basedOn w:val="Normal"/>
    <w:next w:val="Normal"/>
    <w:autoRedefine/>
    <w:uiPriority w:val="39"/>
    <w:unhideWhenUsed/>
    <w:rsid w:val="00D361E3"/>
    <w:pPr>
      <w:ind w:left="480"/>
    </w:pPr>
  </w:style>
  <w:style w:type="paragraph" w:styleId="TOC4">
    <w:name w:val="toc 4"/>
    <w:basedOn w:val="Normal"/>
    <w:next w:val="Normal"/>
    <w:autoRedefine/>
    <w:uiPriority w:val="39"/>
    <w:unhideWhenUsed/>
    <w:rsid w:val="00D361E3"/>
    <w:pPr>
      <w:ind w:left="720"/>
    </w:pPr>
  </w:style>
  <w:style w:type="paragraph" w:styleId="TOC5">
    <w:name w:val="toc 5"/>
    <w:basedOn w:val="Normal"/>
    <w:next w:val="Normal"/>
    <w:autoRedefine/>
    <w:uiPriority w:val="39"/>
    <w:unhideWhenUsed/>
    <w:rsid w:val="00D361E3"/>
    <w:pPr>
      <w:ind w:left="960"/>
    </w:pPr>
  </w:style>
  <w:style w:type="paragraph" w:styleId="TOC6">
    <w:name w:val="toc 6"/>
    <w:basedOn w:val="Normal"/>
    <w:next w:val="Normal"/>
    <w:autoRedefine/>
    <w:uiPriority w:val="39"/>
    <w:unhideWhenUsed/>
    <w:rsid w:val="00D361E3"/>
    <w:pPr>
      <w:ind w:left="1200"/>
    </w:pPr>
  </w:style>
  <w:style w:type="paragraph" w:styleId="TOC7">
    <w:name w:val="toc 7"/>
    <w:basedOn w:val="Normal"/>
    <w:next w:val="Normal"/>
    <w:autoRedefine/>
    <w:uiPriority w:val="39"/>
    <w:unhideWhenUsed/>
    <w:rsid w:val="00D361E3"/>
    <w:pPr>
      <w:ind w:left="1440"/>
    </w:pPr>
  </w:style>
  <w:style w:type="paragraph" w:styleId="TOC8">
    <w:name w:val="toc 8"/>
    <w:basedOn w:val="Normal"/>
    <w:next w:val="Normal"/>
    <w:autoRedefine/>
    <w:uiPriority w:val="39"/>
    <w:unhideWhenUsed/>
    <w:rsid w:val="00D361E3"/>
    <w:pPr>
      <w:ind w:left="1680"/>
    </w:pPr>
  </w:style>
  <w:style w:type="paragraph" w:styleId="TOC9">
    <w:name w:val="toc 9"/>
    <w:basedOn w:val="Normal"/>
    <w:next w:val="Normal"/>
    <w:autoRedefine/>
    <w:uiPriority w:val="39"/>
    <w:unhideWhenUsed/>
    <w:rsid w:val="00D361E3"/>
    <w:pPr>
      <w:ind w:left="1920"/>
    </w:pPr>
  </w:style>
  <w:style w:type="paragraph" w:styleId="Header">
    <w:name w:val="header"/>
    <w:basedOn w:val="Normal"/>
    <w:link w:val="HeaderChar"/>
    <w:uiPriority w:val="99"/>
    <w:unhideWhenUsed/>
    <w:rsid w:val="00D361E3"/>
    <w:pPr>
      <w:tabs>
        <w:tab w:val="center" w:pos="4320"/>
        <w:tab w:val="right" w:pos="8640"/>
      </w:tabs>
    </w:pPr>
  </w:style>
  <w:style w:type="character" w:customStyle="1" w:styleId="HeaderChar">
    <w:name w:val="Header Char"/>
    <w:basedOn w:val="DefaultParagraphFont"/>
    <w:link w:val="Header"/>
    <w:uiPriority w:val="99"/>
    <w:rsid w:val="00D361E3"/>
    <w:rPr>
      <w:rFonts w:ascii="Times New Roman" w:hAnsi="Times New Roman"/>
      <w:lang w:val="en-GB"/>
    </w:rPr>
  </w:style>
  <w:style w:type="paragraph" w:styleId="Footer">
    <w:name w:val="footer"/>
    <w:basedOn w:val="Normal"/>
    <w:link w:val="FooterChar"/>
    <w:uiPriority w:val="99"/>
    <w:unhideWhenUsed/>
    <w:rsid w:val="00D361E3"/>
    <w:pPr>
      <w:tabs>
        <w:tab w:val="center" w:pos="4320"/>
        <w:tab w:val="right" w:pos="8640"/>
      </w:tabs>
    </w:pPr>
  </w:style>
  <w:style w:type="character" w:customStyle="1" w:styleId="FooterChar">
    <w:name w:val="Footer Char"/>
    <w:basedOn w:val="DefaultParagraphFont"/>
    <w:link w:val="Footer"/>
    <w:uiPriority w:val="99"/>
    <w:rsid w:val="00D361E3"/>
    <w:rPr>
      <w:rFonts w:ascii="Times New Roman" w:hAnsi="Times New Roman"/>
      <w:lang w:val="en-GB"/>
    </w:rPr>
  </w:style>
  <w:style w:type="character" w:styleId="PageNumber">
    <w:name w:val="page number"/>
    <w:basedOn w:val="DefaultParagraphFont"/>
    <w:uiPriority w:val="99"/>
    <w:semiHidden/>
    <w:unhideWhenUsed/>
    <w:rsid w:val="00D361E3"/>
  </w:style>
  <w:style w:type="paragraph" w:customStyle="1" w:styleId="EndNoteBibliographyTitle">
    <w:name w:val="EndNote Bibliography Title"/>
    <w:basedOn w:val="Normal"/>
    <w:rsid w:val="00D361E3"/>
    <w:pPr>
      <w:jc w:val="center"/>
    </w:pPr>
    <w:rPr>
      <w:rFonts w:cs="Times New Roman"/>
      <w:lang w:val="en-US"/>
    </w:rPr>
  </w:style>
  <w:style w:type="paragraph" w:customStyle="1" w:styleId="EndNoteBibliography">
    <w:name w:val="EndNote Bibliography"/>
    <w:basedOn w:val="Normal"/>
    <w:rsid w:val="00D361E3"/>
    <w:pPr>
      <w:spacing w:line="360" w:lineRule="auto"/>
    </w:pPr>
    <w:rPr>
      <w:rFonts w:cs="Times New Roman"/>
      <w:lang w:val="en-US"/>
    </w:rPr>
  </w:style>
  <w:style w:type="character" w:styleId="Hyperlink">
    <w:name w:val="Hyperlink"/>
    <w:basedOn w:val="DefaultParagraphFont"/>
    <w:uiPriority w:val="99"/>
    <w:unhideWhenUsed/>
    <w:rsid w:val="00D361E3"/>
    <w:rPr>
      <w:color w:val="0000FF" w:themeColor="hyperlink"/>
      <w:u w:val="single"/>
    </w:rPr>
  </w:style>
  <w:style w:type="character" w:styleId="FollowedHyperlink">
    <w:name w:val="FollowedHyperlink"/>
    <w:basedOn w:val="DefaultParagraphFont"/>
    <w:uiPriority w:val="99"/>
    <w:semiHidden/>
    <w:unhideWhenUsed/>
    <w:rsid w:val="00D361E3"/>
    <w:rPr>
      <w:color w:val="800080" w:themeColor="followedHyperlink"/>
      <w:u w:val="single"/>
    </w:rPr>
  </w:style>
  <w:style w:type="table" w:styleId="TableGrid">
    <w:name w:val="Table Grid"/>
    <w:basedOn w:val="TableNormal"/>
    <w:uiPriority w:val="59"/>
    <w:rsid w:val="00D3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361E3"/>
    <w:pPr>
      <w:spacing w:after="120"/>
    </w:pPr>
  </w:style>
  <w:style w:type="character" w:customStyle="1" w:styleId="BodyTextChar">
    <w:name w:val="Body Text Char"/>
    <w:basedOn w:val="DefaultParagraphFont"/>
    <w:link w:val="BodyText"/>
    <w:uiPriority w:val="99"/>
    <w:semiHidden/>
    <w:rsid w:val="00D361E3"/>
    <w:rPr>
      <w:rFonts w:ascii="Times New Roman" w:hAnsi="Times New Roman"/>
      <w:lang w:val="en-GB"/>
    </w:rPr>
  </w:style>
  <w:style w:type="paragraph" w:styleId="BodyTextFirstIndent">
    <w:name w:val="Body Text First Indent"/>
    <w:basedOn w:val="BodyText"/>
    <w:link w:val="BodyTextFirstIndentChar"/>
    <w:uiPriority w:val="99"/>
    <w:unhideWhenUsed/>
    <w:rsid w:val="00D361E3"/>
    <w:pPr>
      <w:spacing w:line="360" w:lineRule="auto"/>
      <w:ind w:firstLine="357"/>
    </w:pPr>
    <w:rPr>
      <w:rFonts w:cs="Times New Roman"/>
      <w:iCs/>
      <w:szCs w:val="22"/>
      <w:lang w:val="en-AU" w:eastAsia="ja-JP"/>
    </w:rPr>
  </w:style>
  <w:style w:type="character" w:customStyle="1" w:styleId="BodyTextFirstIndentChar">
    <w:name w:val="Body Text First Indent Char"/>
    <w:basedOn w:val="BodyTextChar"/>
    <w:link w:val="BodyTextFirstIndent"/>
    <w:uiPriority w:val="99"/>
    <w:rsid w:val="00D361E3"/>
    <w:rPr>
      <w:rFonts w:ascii="Times New Roman" w:hAnsi="Times New Roman" w:cs="Times New Roman"/>
      <w:iCs/>
      <w:szCs w:val="22"/>
      <w:lang w:val="en-AU" w:eastAsia="ja-JP"/>
    </w:rPr>
  </w:style>
  <w:style w:type="character" w:styleId="CommentReference">
    <w:name w:val="annotation reference"/>
    <w:basedOn w:val="DefaultParagraphFont"/>
    <w:uiPriority w:val="99"/>
    <w:semiHidden/>
    <w:unhideWhenUsed/>
    <w:rsid w:val="00D361E3"/>
    <w:rPr>
      <w:sz w:val="18"/>
      <w:szCs w:val="18"/>
    </w:rPr>
  </w:style>
  <w:style w:type="paragraph" w:styleId="CommentText">
    <w:name w:val="annotation text"/>
    <w:basedOn w:val="Normal"/>
    <w:link w:val="CommentTextChar"/>
    <w:uiPriority w:val="99"/>
    <w:semiHidden/>
    <w:unhideWhenUsed/>
    <w:rsid w:val="00D361E3"/>
  </w:style>
  <w:style w:type="character" w:customStyle="1" w:styleId="CommentTextChar">
    <w:name w:val="Comment Text Char"/>
    <w:basedOn w:val="DefaultParagraphFont"/>
    <w:link w:val="CommentText"/>
    <w:uiPriority w:val="99"/>
    <w:semiHidden/>
    <w:rsid w:val="00D361E3"/>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361E3"/>
    <w:rPr>
      <w:b/>
      <w:bCs/>
      <w:sz w:val="20"/>
      <w:szCs w:val="20"/>
    </w:rPr>
  </w:style>
  <w:style w:type="character" w:customStyle="1" w:styleId="CommentSubjectChar">
    <w:name w:val="Comment Subject Char"/>
    <w:basedOn w:val="CommentTextChar"/>
    <w:link w:val="CommentSubject"/>
    <w:uiPriority w:val="99"/>
    <w:semiHidden/>
    <w:rsid w:val="00D361E3"/>
    <w:rPr>
      <w:rFonts w:ascii="Times New Roman" w:hAnsi="Times New Roman"/>
      <w:b/>
      <w:bCs/>
      <w:sz w:val="20"/>
      <w:szCs w:val="20"/>
      <w:lang w:val="en-GB"/>
    </w:rPr>
  </w:style>
  <w:style w:type="paragraph" w:styleId="ListParagraph">
    <w:name w:val="List Paragraph"/>
    <w:basedOn w:val="Normal"/>
    <w:uiPriority w:val="34"/>
    <w:qFormat/>
    <w:rsid w:val="00D361E3"/>
    <w:pPr>
      <w:ind w:left="720"/>
      <w:contextualSpacing/>
    </w:pPr>
  </w:style>
  <w:style w:type="paragraph" w:customStyle="1" w:styleId="bodytextindented">
    <w:name w:val="body text indented"/>
    <w:basedOn w:val="BodyText2"/>
    <w:qFormat/>
    <w:rsid w:val="00D361E3"/>
    <w:pPr>
      <w:spacing w:after="0"/>
      <w:ind w:firstLine="567"/>
    </w:pPr>
    <w:rPr>
      <w:rFonts w:eastAsia="Times New Roman" w:cs="Times New Roman"/>
      <w:lang w:val="en-AU"/>
    </w:rPr>
  </w:style>
  <w:style w:type="paragraph" w:styleId="BodyText2">
    <w:name w:val="Body Text 2"/>
    <w:basedOn w:val="Normal"/>
    <w:link w:val="BodyText2Char"/>
    <w:uiPriority w:val="99"/>
    <w:semiHidden/>
    <w:unhideWhenUsed/>
    <w:rsid w:val="00D361E3"/>
    <w:pPr>
      <w:spacing w:after="120" w:line="480" w:lineRule="auto"/>
    </w:pPr>
  </w:style>
  <w:style w:type="character" w:customStyle="1" w:styleId="BodyText2Char">
    <w:name w:val="Body Text 2 Char"/>
    <w:basedOn w:val="DefaultParagraphFont"/>
    <w:link w:val="BodyText2"/>
    <w:uiPriority w:val="99"/>
    <w:semiHidden/>
    <w:rsid w:val="00D361E3"/>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3"/>
    <w:rPr>
      <w:rFonts w:ascii="Times New Roman" w:hAnsi="Times New Roman"/>
      <w:lang w:val="en-GB"/>
    </w:rPr>
  </w:style>
  <w:style w:type="paragraph" w:styleId="Heading1">
    <w:name w:val="heading 1"/>
    <w:basedOn w:val="Normal"/>
    <w:next w:val="Normal"/>
    <w:link w:val="Heading1Char"/>
    <w:uiPriority w:val="9"/>
    <w:qFormat/>
    <w:rsid w:val="00D361E3"/>
    <w:pPr>
      <w:outlineLvl w:val="0"/>
    </w:pPr>
    <w:rPr>
      <w:rFonts w:ascii="Calibri" w:hAnsi="Calibri"/>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AltShading">
    <w:name w:val="Style2 Alt Shading"/>
    <w:basedOn w:val="TableNormal"/>
    <w:uiPriority w:val="99"/>
    <w:rsid w:val="00D361E3"/>
    <w:rPr>
      <w:rFonts w:ascii="Times New Roman" w:eastAsia="ＭＳ 明朝" w:hAnsi="Times New Roman" w:cs="Times New Roman"/>
      <w:szCs w:val="20"/>
      <w:lang w:val="en-AU"/>
    </w:rPr>
    <w:tblPr>
      <w:tblStyleRowBandSize w:val="1"/>
      <w:tblInd w:w="0" w:type="dxa"/>
      <w:tblCellMar>
        <w:top w:w="0" w:type="dxa"/>
        <w:left w:w="108" w:type="dxa"/>
        <w:bottom w:w="0" w:type="dxa"/>
        <w:right w:w="108" w:type="dxa"/>
      </w:tblCellMar>
    </w:tblPr>
    <w:tblStylePr w:type="band2Horz">
      <w:tblPr/>
      <w:tcPr>
        <w:shd w:val="clear" w:color="auto" w:fill="D9D9D9" w:themeFill="background1" w:themeFillShade="D9"/>
      </w:tcPr>
    </w:tblStylePr>
  </w:style>
  <w:style w:type="table" w:customStyle="1" w:styleId="Style2Jay">
    <w:name w:val="Style2Jay"/>
    <w:basedOn w:val="TableNormal"/>
    <w:uiPriority w:val="99"/>
    <w:rsid w:val="00D361E3"/>
    <w:rPr>
      <w:rFonts w:ascii="Times New Roman" w:eastAsia="ＭＳ 明朝" w:hAnsi="Times New Roman" w:cs="Times New Roman"/>
      <w:szCs w:val="20"/>
      <w:lang w:val="en-AU"/>
    </w:rPr>
    <w:tblPr>
      <w:tblStyleRowBandSize w:val="1"/>
      <w:tblInd w:w="0" w:type="dxa"/>
      <w:tblCellMar>
        <w:top w:w="0" w:type="dxa"/>
        <w:left w:w="108" w:type="dxa"/>
        <w:bottom w:w="0" w:type="dxa"/>
        <w:right w:w="108" w:type="dxa"/>
      </w:tblCellMar>
    </w:tblPr>
    <w:tcPr>
      <w:shd w:val="clear" w:color="auto" w:fill="C0C0C0"/>
    </w:tcPr>
    <w:tblStylePr w:type="band1Horz">
      <w:tblPr/>
      <w:tcPr>
        <w:tcBorders>
          <w:top w:val="nil"/>
          <w:left w:val="nil"/>
          <w:bottom w:val="nil"/>
          <w:right w:val="nil"/>
          <w:insideH w:val="nil"/>
          <w:insideV w:val="nil"/>
          <w:tl2br w:val="nil"/>
          <w:tr2bl w:val="nil"/>
        </w:tcBorders>
        <w:shd w:val="clear" w:color="auto" w:fill="FFFFFF"/>
      </w:tcPr>
    </w:tblStylePr>
  </w:style>
  <w:style w:type="paragraph" w:customStyle="1" w:styleId="FadedReferences">
    <w:name w:val="Faded References"/>
    <w:basedOn w:val="Normal"/>
    <w:autoRedefine/>
    <w:qFormat/>
    <w:rsid w:val="00D361E3"/>
    <w:pPr>
      <w:ind w:left="600" w:right="-21"/>
      <w:jc w:val="both"/>
    </w:pPr>
    <w:rPr>
      <w:rFonts w:eastAsia="Times New Roman" w:cs="Times New Roman"/>
      <w:color w:val="808080"/>
      <w:sz w:val="20"/>
      <w:szCs w:val="20"/>
    </w:rPr>
  </w:style>
  <w:style w:type="character" w:customStyle="1" w:styleId="Heading1Char">
    <w:name w:val="Heading 1 Char"/>
    <w:basedOn w:val="DefaultParagraphFont"/>
    <w:link w:val="Heading1"/>
    <w:uiPriority w:val="9"/>
    <w:rsid w:val="00D361E3"/>
    <w:rPr>
      <w:rFonts w:ascii="Calibri" w:hAnsi="Calibri"/>
      <w:b/>
      <w:bCs/>
      <w:caps/>
      <w:sz w:val="26"/>
      <w:szCs w:val="26"/>
      <w:lang w:val="en-GB"/>
    </w:rPr>
  </w:style>
  <w:style w:type="paragraph" w:customStyle="1" w:styleId="bodytext1">
    <w:name w:val="body text 1"/>
    <w:basedOn w:val="Normal"/>
    <w:qFormat/>
    <w:rsid w:val="00D361E3"/>
    <w:pPr>
      <w:spacing w:before="120" w:after="120" w:line="480" w:lineRule="auto"/>
    </w:pPr>
    <w:rPr>
      <w:rFonts w:cs="Times New Roman"/>
      <w:lang w:val="en-AU"/>
    </w:rPr>
  </w:style>
  <w:style w:type="paragraph" w:styleId="FootnoteText">
    <w:name w:val="footnote text"/>
    <w:basedOn w:val="Normal"/>
    <w:link w:val="FootnoteTextChar"/>
    <w:uiPriority w:val="99"/>
    <w:unhideWhenUsed/>
    <w:rsid w:val="00D361E3"/>
    <w:rPr>
      <w:rFonts w:cs="Times New Roman"/>
      <w:lang w:val="en-AU"/>
    </w:rPr>
  </w:style>
  <w:style w:type="character" w:customStyle="1" w:styleId="FootnoteTextChar">
    <w:name w:val="Footnote Text Char"/>
    <w:basedOn w:val="DefaultParagraphFont"/>
    <w:link w:val="FootnoteText"/>
    <w:uiPriority w:val="99"/>
    <w:rsid w:val="00D361E3"/>
    <w:rPr>
      <w:rFonts w:ascii="Times New Roman" w:hAnsi="Times New Roman" w:cs="Times New Roman"/>
      <w:lang w:val="en-AU"/>
    </w:rPr>
  </w:style>
  <w:style w:type="character" w:styleId="FootnoteReference">
    <w:name w:val="footnote reference"/>
    <w:basedOn w:val="DefaultParagraphFont"/>
    <w:uiPriority w:val="99"/>
    <w:unhideWhenUsed/>
    <w:rsid w:val="00D361E3"/>
    <w:rPr>
      <w:vertAlign w:val="superscript"/>
    </w:rPr>
  </w:style>
  <w:style w:type="paragraph" w:styleId="BalloonText">
    <w:name w:val="Balloon Text"/>
    <w:basedOn w:val="Normal"/>
    <w:link w:val="BalloonTextChar"/>
    <w:uiPriority w:val="99"/>
    <w:semiHidden/>
    <w:unhideWhenUsed/>
    <w:rsid w:val="00D36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1E3"/>
    <w:rPr>
      <w:rFonts w:ascii="Lucida Grande" w:hAnsi="Lucida Grande" w:cs="Lucida Grande"/>
      <w:sz w:val="18"/>
      <w:szCs w:val="18"/>
      <w:lang w:val="en-GB"/>
    </w:rPr>
  </w:style>
  <w:style w:type="paragraph" w:styleId="TOC1">
    <w:name w:val="toc 1"/>
    <w:basedOn w:val="Normal"/>
    <w:next w:val="Normal"/>
    <w:autoRedefine/>
    <w:uiPriority w:val="39"/>
    <w:unhideWhenUsed/>
    <w:rsid w:val="00D361E3"/>
  </w:style>
  <w:style w:type="paragraph" w:styleId="TOC2">
    <w:name w:val="toc 2"/>
    <w:basedOn w:val="Normal"/>
    <w:next w:val="Normal"/>
    <w:autoRedefine/>
    <w:uiPriority w:val="39"/>
    <w:unhideWhenUsed/>
    <w:rsid w:val="00D361E3"/>
    <w:pPr>
      <w:ind w:left="240"/>
    </w:pPr>
  </w:style>
  <w:style w:type="paragraph" w:styleId="TOC3">
    <w:name w:val="toc 3"/>
    <w:basedOn w:val="Normal"/>
    <w:next w:val="Normal"/>
    <w:autoRedefine/>
    <w:uiPriority w:val="39"/>
    <w:unhideWhenUsed/>
    <w:rsid w:val="00D361E3"/>
    <w:pPr>
      <w:ind w:left="480"/>
    </w:pPr>
  </w:style>
  <w:style w:type="paragraph" w:styleId="TOC4">
    <w:name w:val="toc 4"/>
    <w:basedOn w:val="Normal"/>
    <w:next w:val="Normal"/>
    <w:autoRedefine/>
    <w:uiPriority w:val="39"/>
    <w:unhideWhenUsed/>
    <w:rsid w:val="00D361E3"/>
    <w:pPr>
      <w:ind w:left="720"/>
    </w:pPr>
  </w:style>
  <w:style w:type="paragraph" w:styleId="TOC5">
    <w:name w:val="toc 5"/>
    <w:basedOn w:val="Normal"/>
    <w:next w:val="Normal"/>
    <w:autoRedefine/>
    <w:uiPriority w:val="39"/>
    <w:unhideWhenUsed/>
    <w:rsid w:val="00D361E3"/>
    <w:pPr>
      <w:ind w:left="960"/>
    </w:pPr>
  </w:style>
  <w:style w:type="paragraph" w:styleId="TOC6">
    <w:name w:val="toc 6"/>
    <w:basedOn w:val="Normal"/>
    <w:next w:val="Normal"/>
    <w:autoRedefine/>
    <w:uiPriority w:val="39"/>
    <w:unhideWhenUsed/>
    <w:rsid w:val="00D361E3"/>
    <w:pPr>
      <w:ind w:left="1200"/>
    </w:pPr>
  </w:style>
  <w:style w:type="paragraph" w:styleId="TOC7">
    <w:name w:val="toc 7"/>
    <w:basedOn w:val="Normal"/>
    <w:next w:val="Normal"/>
    <w:autoRedefine/>
    <w:uiPriority w:val="39"/>
    <w:unhideWhenUsed/>
    <w:rsid w:val="00D361E3"/>
    <w:pPr>
      <w:ind w:left="1440"/>
    </w:pPr>
  </w:style>
  <w:style w:type="paragraph" w:styleId="TOC8">
    <w:name w:val="toc 8"/>
    <w:basedOn w:val="Normal"/>
    <w:next w:val="Normal"/>
    <w:autoRedefine/>
    <w:uiPriority w:val="39"/>
    <w:unhideWhenUsed/>
    <w:rsid w:val="00D361E3"/>
    <w:pPr>
      <w:ind w:left="1680"/>
    </w:pPr>
  </w:style>
  <w:style w:type="paragraph" w:styleId="TOC9">
    <w:name w:val="toc 9"/>
    <w:basedOn w:val="Normal"/>
    <w:next w:val="Normal"/>
    <w:autoRedefine/>
    <w:uiPriority w:val="39"/>
    <w:unhideWhenUsed/>
    <w:rsid w:val="00D361E3"/>
    <w:pPr>
      <w:ind w:left="1920"/>
    </w:pPr>
  </w:style>
  <w:style w:type="paragraph" w:styleId="Header">
    <w:name w:val="header"/>
    <w:basedOn w:val="Normal"/>
    <w:link w:val="HeaderChar"/>
    <w:uiPriority w:val="99"/>
    <w:unhideWhenUsed/>
    <w:rsid w:val="00D361E3"/>
    <w:pPr>
      <w:tabs>
        <w:tab w:val="center" w:pos="4320"/>
        <w:tab w:val="right" w:pos="8640"/>
      </w:tabs>
    </w:pPr>
  </w:style>
  <w:style w:type="character" w:customStyle="1" w:styleId="HeaderChar">
    <w:name w:val="Header Char"/>
    <w:basedOn w:val="DefaultParagraphFont"/>
    <w:link w:val="Header"/>
    <w:uiPriority w:val="99"/>
    <w:rsid w:val="00D361E3"/>
    <w:rPr>
      <w:rFonts w:ascii="Times New Roman" w:hAnsi="Times New Roman"/>
      <w:lang w:val="en-GB"/>
    </w:rPr>
  </w:style>
  <w:style w:type="paragraph" w:styleId="Footer">
    <w:name w:val="footer"/>
    <w:basedOn w:val="Normal"/>
    <w:link w:val="FooterChar"/>
    <w:uiPriority w:val="99"/>
    <w:unhideWhenUsed/>
    <w:rsid w:val="00D361E3"/>
    <w:pPr>
      <w:tabs>
        <w:tab w:val="center" w:pos="4320"/>
        <w:tab w:val="right" w:pos="8640"/>
      </w:tabs>
    </w:pPr>
  </w:style>
  <w:style w:type="character" w:customStyle="1" w:styleId="FooterChar">
    <w:name w:val="Footer Char"/>
    <w:basedOn w:val="DefaultParagraphFont"/>
    <w:link w:val="Footer"/>
    <w:uiPriority w:val="99"/>
    <w:rsid w:val="00D361E3"/>
    <w:rPr>
      <w:rFonts w:ascii="Times New Roman" w:hAnsi="Times New Roman"/>
      <w:lang w:val="en-GB"/>
    </w:rPr>
  </w:style>
  <w:style w:type="character" w:styleId="PageNumber">
    <w:name w:val="page number"/>
    <w:basedOn w:val="DefaultParagraphFont"/>
    <w:uiPriority w:val="99"/>
    <w:semiHidden/>
    <w:unhideWhenUsed/>
    <w:rsid w:val="00D361E3"/>
  </w:style>
  <w:style w:type="paragraph" w:customStyle="1" w:styleId="EndNoteBibliographyTitle">
    <w:name w:val="EndNote Bibliography Title"/>
    <w:basedOn w:val="Normal"/>
    <w:rsid w:val="00D361E3"/>
    <w:pPr>
      <w:jc w:val="center"/>
    </w:pPr>
    <w:rPr>
      <w:rFonts w:cs="Times New Roman"/>
      <w:lang w:val="en-US"/>
    </w:rPr>
  </w:style>
  <w:style w:type="paragraph" w:customStyle="1" w:styleId="EndNoteBibliography">
    <w:name w:val="EndNote Bibliography"/>
    <w:basedOn w:val="Normal"/>
    <w:rsid w:val="00D361E3"/>
    <w:pPr>
      <w:spacing w:line="360" w:lineRule="auto"/>
    </w:pPr>
    <w:rPr>
      <w:rFonts w:cs="Times New Roman"/>
      <w:lang w:val="en-US"/>
    </w:rPr>
  </w:style>
  <w:style w:type="character" w:styleId="Hyperlink">
    <w:name w:val="Hyperlink"/>
    <w:basedOn w:val="DefaultParagraphFont"/>
    <w:uiPriority w:val="99"/>
    <w:unhideWhenUsed/>
    <w:rsid w:val="00D361E3"/>
    <w:rPr>
      <w:color w:val="0000FF" w:themeColor="hyperlink"/>
      <w:u w:val="single"/>
    </w:rPr>
  </w:style>
  <w:style w:type="character" w:styleId="FollowedHyperlink">
    <w:name w:val="FollowedHyperlink"/>
    <w:basedOn w:val="DefaultParagraphFont"/>
    <w:uiPriority w:val="99"/>
    <w:semiHidden/>
    <w:unhideWhenUsed/>
    <w:rsid w:val="00D361E3"/>
    <w:rPr>
      <w:color w:val="800080" w:themeColor="followedHyperlink"/>
      <w:u w:val="single"/>
    </w:rPr>
  </w:style>
  <w:style w:type="table" w:styleId="TableGrid">
    <w:name w:val="Table Grid"/>
    <w:basedOn w:val="TableNormal"/>
    <w:uiPriority w:val="59"/>
    <w:rsid w:val="00D3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361E3"/>
    <w:pPr>
      <w:spacing w:after="120"/>
    </w:pPr>
  </w:style>
  <w:style w:type="character" w:customStyle="1" w:styleId="BodyTextChar">
    <w:name w:val="Body Text Char"/>
    <w:basedOn w:val="DefaultParagraphFont"/>
    <w:link w:val="BodyText"/>
    <w:uiPriority w:val="99"/>
    <w:semiHidden/>
    <w:rsid w:val="00D361E3"/>
    <w:rPr>
      <w:rFonts w:ascii="Times New Roman" w:hAnsi="Times New Roman"/>
      <w:lang w:val="en-GB"/>
    </w:rPr>
  </w:style>
  <w:style w:type="paragraph" w:styleId="BodyTextFirstIndent">
    <w:name w:val="Body Text First Indent"/>
    <w:basedOn w:val="BodyText"/>
    <w:link w:val="BodyTextFirstIndentChar"/>
    <w:uiPriority w:val="99"/>
    <w:unhideWhenUsed/>
    <w:rsid w:val="00D361E3"/>
    <w:pPr>
      <w:spacing w:line="360" w:lineRule="auto"/>
      <w:ind w:firstLine="357"/>
    </w:pPr>
    <w:rPr>
      <w:rFonts w:cs="Times New Roman"/>
      <w:iCs/>
      <w:szCs w:val="22"/>
      <w:lang w:val="en-AU" w:eastAsia="ja-JP"/>
    </w:rPr>
  </w:style>
  <w:style w:type="character" w:customStyle="1" w:styleId="BodyTextFirstIndentChar">
    <w:name w:val="Body Text First Indent Char"/>
    <w:basedOn w:val="BodyTextChar"/>
    <w:link w:val="BodyTextFirstIndent"/>
    <w:uiPriority w:val="99"/>
    <w:rsid w:val="00D361E3"/>
    <w:rPr>
      <w:rFonts w:ascii="Times New Roman" w:hAnsi="Times New Roman" w:cs="Times New Roman"/>
      <w:iCs/>
      <w:szCs w:val="22"/>
      <w:lang w:val="en-AU" w:eastAsia="ja-JP"/>
    </w:rPr>
  </w:style>
  <w:style w:type="character" w:styleId="CommentReference">
    <w:name w:val="annotation reference"/>
    <w:basedOn w:val="DefaultParagraphFont"/>
    <w:uiPriority w:val="99"/>
    <w:semiHidden/>
    <w:unhideWhenUsed/>
    <w:rsid w:val="00D361E3"/>
    <w:rPr>
      <w:sz w:val="18"/>
      <w:szCs w:val="18"/>
    </w:rPr>
  </w:style>
  <w:style w:type="paragraph" w:styleId="CommentText">
    <w:name w:val="annotation text"/>
    <w:basedOn w:val="Normal"/>
    <w:link w:val="CommentTextChar"/>
    <w:uiPriority w:val="99"/>
    <w:semiHidden/>
    <w:unhideWhenUsed/>
    <w:rsid w:val="00D361E3"/>
  </w:style>
  <w:style w:type="character" w:customStyle="1" w:styleId="CommentTextChar">
    <w:name w:val="Comment Text Char"/>
    <w:basedOn w:val="DefaultParagraphFont"/>
    <w:link w:val="CommentText"/>
    <w:uiPriority w:val="99"/>
    <w:semiHidden/>
    <w:rsid w:val="00D361E3"/>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361E3"/>
    <w:rPr>
      <w:b/>
      <w:bCs/>
      <w:sz w:val="20"/>
      <w:szCs w:val="20"/>
    </w:rPr>
  </w:style>
  <w:style w:type="character" w:customStyle="1" w:styleId="CommentSubjectChar">
    <w:name w:val="Comment Subject Char"/>
    <w:basedOn w:val="CommentTextChar"/>
    <w:link w:val="CommentSubject"/>
    <w:uiPriority w:val="99"/>
    <w:semiHidden/>
    <w:rsid w:val="00D361E3"/>
    <w:rPr>
      <w:rFonts w:ascii="Times New Roman" w:hAnsi="Times New Roman"/>
      <w:b/>
      <w:bCs/>
      <w:sz w:val="20"/>
      <w:szCs w:val="20"/>
      <w:lang w:val="en-GB"/>
    </w:rPr>
  </w:style>
  <w:style w:type="paragraph" w:styleId="ListParagraph">
    <w:name w:val="List Paragraph"/>
    <w:basedOn w:val="Normal"/>
    <w:uiPriority w:val="34"/>
    <w:qFormat/>
    <w:rsid w:val="00D361E3"/>
    <w:pPr>
      <w:ind w:left="720"/>
      <w:contextualSpacing/>
    </w:pPr>
  </w:style>
  <w:style w:type="paragraph" w:customStyle="1" w:styleId="bodytextindented">
    <w:name w:val="body text indented"/>
    <w:basedOn w:val="BodyText2"/>
    <w:qFormat/>
    <w:rsid w:val="00D361E3"/>
    <w:pPr>
      <w:spacing w:after="0"/>
      <w:ind w:firstLine="567"/>
    </w:pPr>
    <w:rPr>
      <w:rFonts w:eastAsia="Times New Roman" w:cs="Times New Roman"/>
      <w:lang w:val="en-AU"/>
    </w:rPr>
  </w:style>
  <w:style w:type="paragraph" w:styleId="BodyText2">
    <w:name w:val="Body Text 2"/>
    <w:basedOn w:val="Normal"/>
    <w:link w:val="BodyText2Char"/>
    <w:uiPriority w:val="99"/>
    <w:semiHidden/>
    <w:unhideWhenUsed/>
    <w:rsid w:val="00D361E3"/>
    <w:pPr>
      <w:spacing w:after="120" w:line="480" w:lineRule="auto"/>
    </w:pPr>
  </w:style>
  <w:style w:type="character" w:customStyle="1" w:styleId="BodyText2Char">
    <w:name w:val="Body Text 2 Char"/>
    <w:basedOn w:val="DefaultParagraphFont"/>
    <w:link w:val="BodyText2"/>
    <w:uiPriority w:val="99"/>
    <w:semiHidden/>
    <w:rsid w:val="00D361E3"/>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7855</Words>
  <Characters>44780</Characters>
  <Application>Microsoft Macintosh Word</Application>
  <DocSecurity>0</DocSecurity>
  <Lines>373</Lines>
  <Paragraphs>105</Paragraphs>
  <ScaleCrop>false</ScaleCrop>
  <Company>The University of Queensland</Company>
  <LinksUpToDate>false</LinksUpToDate>
  <CharactersWithSpaces>52530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Nair</dc:creator>
  <cp:keywords/>
  <dc:description/>
  <cp:lastModifiedBy>Matt</cp:lastModifiedBy>
  <cp:revision>3</cp:revision>
  <dcterms:created xsi:type="dcterms:W3CDTF">2018-10-15T09:34:00Z</dcterms:created>
  <dcterms:modified xsi:type="dcterms:W3CDTF">2019-01-30T12:52:00Z</dcterms:modified>
</cp:coreProperties>
</file>