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F9" w:rsidRPr="004412BD" w:rsidRDefault="00C803F9" w:rsidP="004412BD">
      <w:pPr>
        <w:jc w:val="center"/>
        <w:rPr>
          <w:sz w:val="36"/>
          <w:szCs w:val="36"/>
        </w:rPr>
      </w:pPr>
      <w:r w:rsidRPr="004412BD">
        <w:rPr>
          <w:sz w:val="36"/>
          <w:szCs w:val="36"/>
        </w:rPr>
        <w:t xml:space="preserve">Molecular assays to detect the presence and viability of </w:t>
      </w:r>
      <w:r w:rsidRPr="004412BD">
        <w:rPr>
          <w:i/>
          <w:sz w:val="36"/>
          <w:szCs w:val="36"/>
        </w:rPr>
        <w:t xml:space="preserve">Phytophthora ramorum </w:t>
      </w:r>
      <w:r w:rsidRPr="004412BD">
        <w:rPr>
          <w:sz w:val="36"/>
          <w:szCs w:val="36"/>
        </w:rPr>
        <w:t>and</w:t>
      </w:r>
      <w:r w:rsidRPr="004412BD">
        <w:rPr>
          <w:i/>
          <w:sz w:val="36"/>
          <w:szCs w:val="36"/>
        </w:rPr>
        <w:t xml:space="preserve"> Grosmannia clavigera</w:t>
      </w:r>
    </w:p>
    <w:p w:rsidR="00C803F9" w:rsidRDefault="004412BD" w:rsidP="004412BD">
      <w:pPr>
        <w:jc w:val="center"/>
      </w:pPr>
      <w:r>
        <w:t>Ba</w:t>
      </w:r>
      <w:r w:rsidR="004C7EE1">
        <w:t>r</w:t>
      </w:r>
      <w:r>
        <w:t>bara Wong &amp; Richard Hamelin, UBC</w:t>
      </w:r>
    </w:p>
    <w:p w:rsidR="004412BD" w:rsidRPr="00C803F9" w:rsidRDefault="004412BD"/>
    <w:p w:rsidR="00C803F9" w:rsidRDefault="00C803F9" w:rsidP="00C803F9">
      <w:pPr>
        <w:pStyle w:val="Heading3"/>
        <w:spacing w:line="480" w:lineRule="auto"/>
        <w:rPr>
          <w:sz w:val="28"/>
          <w:szCs w:val="28"/>
        </w:rPr>
      </w:pPr>
      <w:r>
        <w:rPr>
          <w:sz w:val="28"/>
          <w:szCs w:val="28"/>
        </w:rPr>
        <w:t>RNA and DNA extractions</w:t>
      </w:r>
    </w:p>
    <w:p w:rsidR="00C803F9" w:rsidRDefault="00C803F9" w:rsidP="00C803F9">
      <w:pPr>
        <w:ind w:firstLine="720"/>
      </w:pPr>
      <w:r w:rsidRPr="00091D09">
        <w:t>Fifty to 80 mg of wood scrapings were collected at each inoculation point from eight logs of four conifer species and used for th</w:t>
      </w:r>
      <w:bookmarkStart w:id="0" w:name="_GoBack"/>
      <w:bookmarkEnd w:id="0"/>
      <w:r w:rsidRPr="00091D09">
        <w:t xml:space="preserve">e simultaneous extractions of gDNA and mRNA. </w:t>
      </w:r>
      <w:r>
        <w:t xml:space="preserve">Wood samples inoculated with </w:t>
      </w:r>
      <w:r>
        <w:rPr>
          <w:i/>
        </w:rPr>
        <w:t>G. clavigera</w:t>
      </w:r>
      <w:r>
        <w:t xml:space="preserve"> were placed in 15 ml vials with two 10 mm stainless steel balls and were submerged in liquid nitrogen to keep the samples frozen. Vials were then placed in the Geno/Grinder (SPEX SamplePrep 2010, Metuchen, New Jersey, USA) at 15,000 rpm for 30 seconds. Wood samples inoculated with </w:t>
      </w:r>
      <w:r>
        <w:rPr>
          <w:i/>
        </w:rPr>
        <w:t>P. ramorum</w:t>
      </w:r>
      <w:r>
        <w:t xml:space="preserve"> were hand-ground using a mortar and pestle. Mycelial samples were placed in Lysing Matrix C. All samples were flash-frozen in liquid nitrogen, ground in a FastPrep-24 homogenizer (MPBiomedicals) at 5.5 rpm for 30 seconds and re-submerged in liquid nitrogen. For </w:t>
      </w:r>
      <w:r>
        <w:rPr>
          <w:i/>
        </w:rPr>
        <w:t>G. clavigera</w:t>
      </w:r>
      <w:r>
        <w:t xml:space="preserve">, samples were removed from the freezer and submerged in liquid nitrogen to inhibit RNA degradation. Samples were individually placed in a mortar, immersed in liquid nitrogen and ground up into fine powder. </w:t>
      </w:r>
    </w:p>
    <w:p w:rsidR="00C803F9" w:rsidRDefault="00C803F9" w:rsidP="00C803F9">
      <w:pPr>
        <w:ind w:firstLine="720"/>
      </w:pPr>
      <w:r>
        <w:t xml:space="preserve">Simultaneous extraction of gDNA and RNA was performed using the AllPrep DNA/RNA Micro kit (QIAGEN Inc., Valencia, CA) following manufacturer instructions. Three extractions were performed for each as replicates. Genomic DNA concentration was measured using the Qubit fluorometer and all culture samples were diluted down to 1ng/µl using nuclease-free water. The concentration of RNA samples was measured using the NanoDrop 1000 spectrophotometer before diluting down to 10ng/ul. </w:t>
      </w:r>
      <w:r w:rsidRPr="00192C84">
        <w:t>RNA integrity was assessed by band fluorescence using an agarose gel stained with ethidium bromide (EtBr).</w:t>
      </w:r>
    </w:p>
    <w:p w:rsidR="00C803F9" w:rsidRDefault="00C803F9" w:rsidP="00C803F9">
      <w:pPr>
        <w:pStyle w:val="Heading3"/>
        <w:spacing w:line="480" w:lineRule="auto"/>
        <w:rPr>
          <w:sz w:val="28"/>
          <w:szCs w:val="28"/>
        </w:rPr>
      </w:pPr>
      <w:bookmarkStart w:id="1" w:name="_heading=h.1fob9te" w:colFirst="0" w:colLast="0"/>
      <w:bookmarkEnd w:id="1"/>
    </w:p>
    <w:p w:rsidR="00C803F9" w:rsidRDefault="00C803F9" w:rsidP="00C803F9">
      <w:pPr>
        <w:pStyle w:val="Heading3"/>
        <w:spacing w:line="480" w:lineRule="auto"/>
        <w:rPr>
          <w:sz w:val="28"/>
          <w:szCs w:val="28"/>
        </w:rPr>
      </w:pPr>
    </w:p>
    <w:p w:rsidR="00C803F9" w:rsidRDefault="00C803F9" w:rsidP="00C803F9">
      <w:pPr>
        <w:pStyle w:val="Heading3"/>
        <w:spacing w:line="480" w:lineRule="auto"/>
      </w:pPr>
      <w:r>
        <w:rPr>
          <w:sz w:val="28"/>
          <w:szCs w:val="28"/>
        </w:rPr>
        <w:t xml:space="preserve">cDNA synthesis, qPCR and RT-qPCR </w:t>
      </w:r>
    </w:p>
    <w:p w:rsidR="00C803F9" w:rsidRDefault="00C803F9" w:rsidP="00C803F9">
      <w:pPr>
        <w:ind w:firstLine="720"/>
      </w:pPr>
      <w:r>
        <w:t xml:space="preserve">Using the diluted RNA, cDNA synthesis was performed using the QuantiTect Reverse Transcription Kit (QIAGEN). Two µl of gDNA Wipeout buffer (7x), 10 ng of template RNA and a variable volume of RNase-free water for a total of 14 µl was used in the first step. Then 1 µl of Quantiscript Reverse Transcriptase, 4 µl of Quantiscript RT Buffer (5x) and 1 µl of RT primer mix was added to the gDNA eliminated solution. </w:t>
      </w:r>
      <w:sdt>
        <w:sdtPr>
          <w:tag w:val="goog_rdk_5"/>
          <w:id w:val="1011811850"/>
        </w:sdtPr>
        <w:sdtEndPr/>
        <w:sdtContent/>
      </w:sdt>
      <w:sdt>
        <w:sdtPr>
          <w:tag w:val="goog_rdk_6"/>
          <w:id w:val="-273712699"/>
        </w:sdtPr>
        <w:sdtEndPr/>
        <w:sdtContent/>
      </w:sdt>
      <w:r>
        <w:t xml:space="preserve"> </w:t>
      </w:r>
    </w:p>
    <w:p w:rsidR="00C803F9" w:rsidRDefault="00C803F9" w:rsidP="00C803F9">
      <w:pPr>
        <w:ind w:firstLine="720"/>
        <w:sectPr w:rsidR="00C803F9" w:rsidSect="00C803F9">
          <w:pgSz w:w="12240" w:h="15840"/>
          <w:pgMar w:top="1440" w:right="1440" w:bottom="1440" w:left="1440" w:header="720" w:footer="720" w:gutter="0"/>
          <w:cols w:space="720"/>
          <w:docGrid w:linePitch="326"/>
        </w:sectPr>
      </w:pPr>
      <w:r>
        <w:t>Two TaqMan reactions per time point were performed for the measure of mRNA stability post heat treatment. This allowed differentiation of either gDNA or cDNA with their corresponding probes. Real-time PCR mix included 0.5X Quantifast Multiplex PCR MasterMix (QIAGEN), 400 mM of each forward and reverse primer, 20 mM of TaqMan probe and 2.2 ng of template (gDNA or cDNA) for a final volume of 10 µl. Thermal cycling parameters used were 5 minutes at 95</w:t>
      </w:r>
      <w:r>
        <w:rPr>
          <w:vertAlign w:val="superscript"/>
        </w:rPr>
        <w:t>o</w:t>
      </w:r>
      <w:r>
        <w:t>C for enzyme activation, followed by 40 cycles of denaturation at 95</w:t>
      </w:r>
      <w:r>
        <w:rPr>
          <w:vertAlign w:val="superscript"/>
        </w:rPr>
        <w:t>o</w:t>
      </w:r>
      <w:r>
        <w:t xml:space="preserve">C for 30 </w:t>
      </w:r>
      <w:r>
        <w:lastRenderedPageBreak/>
        <w:t>seconds and 60 seconds of annealing/extensions at 60</w:t>
      </w:r>
      <w:r>
        <w:rPr>
          <w:vertAlign w:val="superscript"/>
        </w:rPr>
        <w:t>o</w:t>
      </w:r>
      <w:r>
        <w:t xml:space="preserve">C. </w:t>
      </w:r>
      <w:r w:rsidRPr="00192C84">
        <w:t>The threshold was automatically set and generated with the Applied Biosystems StepOne</w:t>
      </w:r>
      <w:r w:rsidRPr="00192C84">
        <w:rPr>
          <w:vertAlign w:val="superscript"/>
        </w:rPr>
        <w:t>TM</w:t>
      </w:r>
      <w:r w:rsidRPr="00192C84">
        <w:t xml:space="preserve"> software; qPCR efficiency was also calculated automatically through the standard curves tab.</w:t>
      </w:r>
    </w:p>
    <w:p w:rsidR="00115CA1" w:rsidRPr="002819A3" w:rsidRDefault="00115CA1" w:rsidP="00115CA1">
      <w:pPr>
        <w:pStyle w:val="Normal1"/>
        <w:keepNext/>
        <w:spacing w:after="200" w:line="240" w:lineRule="auto"/>
        <w:rPr>
          <w:sz w:val="20"/>
        </w:rPr>
      </w:pPr>
      <w:r w:rsidRPr="002819A3">
        <w:rPr>
          <w:sz w:val="20"/>
          <w:szCs w:val="18"/>
        </w:rPr>
        <w:lastRenderedPageBreak/>
        <w:t>Table 1: Genes and assay sequences used for detection of</w:t>
      </w:r>
      <w:r w:rsidRPr="002819A3">
        <w:rPr>
          <w:i/>
          <w:sz w:val="20"/>
          <w:szCs w:val="18"/>
        </w:rPr>
        <w:t xml:space="preserve"> P</w:t>
      </w:r>
      <w:r>
        <w:rPr>
          <w:i/>
          <w:sz w:val="20"/>
          <w:szCs w:val="18"/>
        </w:rPr>
        <w:t>hytophthora</w:t>
      </w:r>
      <w:r w:rsidRPr="002819A3">
        <w:rPr>
          <w:i/>
          <w:sz w:val="20"/>
          <w:szCs w:val="18"/>
        </w:rPr>
        <w:t xml:space="preserve"> ramorum </w:t>
      </w:r>
      <w:r w:rsidRPr="002819A3">
        <w:rPr>
          <w:sz w:val="20"/>
          <w:szCs w:val="18"/>
        </w:rPr>
        <w:t xml:space="preserve">and </w:t>
      </w:r>
      <w:r w:rsidRPr="002819A3">
        <w:rPr>
          <w:i/>
          <w:sz w:val="20"/>
          <w:szCs w:val="18"/>
        </w:rPr>
        <w:t>G</w:t>
      </w:r>
      <w:r>
        <w:rPr>
          <w:i/>
          <w:sz w:val="20"/>
          <w:szCs w:val="18"/>
        </w:rPr>
        <w:t>rosmannia</w:t>
      </w:r>
      <w:r w:rsidRPr="002819A3">
        <w:rPr>
          <w:i/>
          <w:sz w:val="20"/>
          <w:szCs w:val="18"/>
        </w:rPr>
        <w:t xml:space="preserve"> clavigera</w:t>
      </w:r>
      <w:r w:rsidRPr="002819A3">
        <w:rPr>
          <w:sz w:val="20"/>
          <w:szCs w:val="18"/>
        </w:rPr>
        <w:t>. Probe modification includes 5’ 6-FAM™ and 3’ Iowa Black® FQ quencher and fluorophore.</w:t>
      </w:r>
    </w:p>
    <w:tbl>
      <w:tblPr>
        <w:tblStyle w:val="TableGrid"/>
        <w:tblW w:w="11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9"/>
        <w:gridCol w:w="974"/>
        <w:gridCol w:w="2725"/>
        <w:gridCol w:w="1875"/>
        <w:gridCol w:w="4722"/>
      </w:tblGrid>
      <w:tr w:rsidR="00C803F9" w:rsidTr="00F21A23">
        <w:trPr>
          <w:trHeight w:val="537"/>
          <w:jc w:val="center"/>
        </w:trPr>
        <w:tc>
          <w:tcPr>
            <w:tcW w:w="1659" w:type="dxa"/>
            <w:tcBorders>
              <w:top w:val="single" w:sz="8" w:space="0" w:color="auto"/>
              <w:bottom w:val="double" w:sz="4" w:space="0" w:color="auto"/>
            </w:tcBorders>
            <w:vAlign w:val="center"/>
          </w:tcPr>
          <w:p w:rsidR="00C803F9" w:rsidRDefault="00C803F9" w:rsidP="00F21A23">
            <w:pPr>
              <w:pStyle w:val="Normal1"/>
              <w:jc w:val="center"/>
            </w:pPr>
            <w:r>
              <w:t>Species targeted</w:t>
            </w:r>
          </w:p>
        </w:tc>
        <w:tc>
          <w:tcPr>
            <w:tcW w:w="974" w:type="dxa"/>
            <w:tcBorders>
              <w:top w:val="single" w:sz="8" w:space="0" w:color="auto"/>
              <w:bottom w:val="double" w:sz="4" w:space="0" w:color="auto"/>
            </w:tcBorders>
            <w:vAlign w:val="center"/>
          </w:tcPr>
          <w:p w:rsidR="00C803F9" w:rsidRDefault="00C803F9" w:rsidP="00F21A23">
            <w:pPr>
              <w:pStyle w:val="Normal1"/>
              <w:jc w:val="center"/>
            </w:pPr>
            <w:r>
              <w:t>Gene</w:t>
            </w:r>
          </w:p>
        </w:tc>
        <w:tc>
          <w:tcPr>
            <w:tcW w:w="2725" w:type="dxa"/>
            <w:tcBorders>
              <w:top w:val="single" w:sz="8" w:space="0" w:color="auto"/>
              <w:bottom w:val="double" w:sz="4" w:space="0" w:color="auto"/>
            </w:tcBorders>
            <w:vAlign w:val="center"/>
          </w:tcPr>
          <w:p w:rsidR="00C803F9" w:rsidRDefault="00C803F9" w:rsidP="00F21A23">
            <w:pPr>
              <w:pStyle w:val="Normal1"/>
              <w:jc w:val="center"/>
            </w:pPr>
            <w:r>
              <w:t>Function</w:t>
            </w:r>
          </w:p>
        </w:tc>
        <w:tc>
          <w:tcPr>
            <w:tcW w:w="1875" w:type="dxa"/>
            <w:tcBorders>
              <w:top w:val="single" w:sz="8" w:space="0" w:color="auto"/>
              <w:bottom w:val="double" w:sz="4" w:space="0" w:color="auto"/>
            </w:tcBorders>
            <w:vAlign w:val="center"/>
          </w:tcPr>
          <w:p w:rsidR="00C803F9" w:rsidRDefault="00C803F9" w:rsidP="00F21A23">
            <w:pPr>
              <w:pStyle w:val="Normal1"/>
              <w:jc w:val="center"/>
            </w:pPr>
            <w:r>
              <w:t>Assay name</w:t>
            </w:r>
            <w:r>
              <w:rPr>
                <w:rStyle w:val="FootnoteReference"/>
              </w:rPr>
              <w:footnoteReference w:id="1"/>
            </w:r>
            <w:r>
              <w:rPr>
                <w:rStyle w:val="FootnoteReference"/>
              </w:rPr>
              <w:footnoteReference w:id="2"/>
            </w:r>
          </w:p>
        </w:tc>
        <w:tc>
          <w:tcPr>
            <w:tcW w:w="4722" w:type="dxa"/>
            <w:tcBorders>
              <w:top w:val="single" w:sz="8" w:space="0" w:color="auto"/>
              <w:bottom w:val="double" w:sz="4" w:space="0" w:color="auto"/>
            </w:tcBorders>
            <w:vAlign w:val="center"/>
          </w:tcPr>
          <w:p w:rsidR="00C803F9" w:rsidRDefault="00C803F9" w:rsidP="00F21A23">
            <w:pPr>
              <w:pStyle w:val="Normal1"/>
              <w:jc w:val="center"/>
            </w:pPr>
            <w:r>
              <w:t>Sequence 5’ – 3’</w:t>
            </w:r>
          </w:p>
        </w:tc>
      </w:tr>
      <w:tr w:rsidR="00C803F9" w:rsidTr="00F21A23">
        <w:trPr>
          <w:trHeight w:val="228"/>
          <w:jc w:val="center"/>
        </w:trPr>
        <w:tc>
          <w:tcPr>
            <w:tcW w:w="1659" w:type="dxa"/>
            <w:vMerge w:val="restart"/>
            <w:tcBorders>
              <w:top w:val="double" w:sz="4" w:space="0" w:color="auto"/>
            </w:tcBorders>
            <w:vAlign w:val="center"/>
          </w:tcPr>
          <w:p w:rsidR="00C803F9" w:rsidRPr="001B7352" w:rsidRDefault="00C803F9" w:rsidP="00F21A23">
            <w:pPr>
              <w:pStyle w:val="Normal1"/>
              <w:jc w:val="center"/>
              <w:rPr>
                <w:i/>
              </w:rPr>
            </w:pPr>
            <w:r w:rsidRPr="001B7352">
              <w:rPr>
                <w:i/>
              </w:rPr>
              <w:t>P. ramorum</w:t>
            </w:r>
          </w:p>
        </w:tc>
        <w:tc>
          <w:tcPr>
            <w:tcW w:w="974" w:type="dxa"/>
            <w:vMerge w:val="restart"/>
            <w:tcBorders>
              <w:top w:val="double" w:sz="4" w:space="0" w:color="auto"/>
            </w:tcBorders>
            <w:vAlign w:val="center"/>
          </w:tcPr>
          <w:p w:rsidR="00C803F9" w:rsidRDefault="00C803F9" w:rsidP="00F21A23">
            <w:pPr>
              <w:pStyle w:val="Normal1"/>
              <w:jc w:val="center"/>
            </w:pPr>
            <w:r>
              <w:t>PH178</w:t>
            </w:r>
          </w:p>
        </w:tc>
        <w:tc>
          <w:tcPr>
            <w:tcW w:w="2725" w:type="dxa"/>
            <w:vMerge w:val="restart"/>
            <w:tcBorders>
              <w:top w:val="double" w:sz="4" w:space="0" w:color="auto"/>
            </w:tcBorders>
            <w:vAlign w:val="center"/>
          </w:tcPr>
          <w:p w:rsidR="00C803F9" w:rsidRDefault="00C803F9" w:rsidP="00F21A23">
            <w:pPr>
              <w:pStyle w:val="Normal1"/>
              <w:jc w:val="center"/>
            </w:pPr>
            <w:r>
              <w:t>Predicted membrane protein</w:t>
            </w:r>
          </w:p>
        </w:tc>
        <w:tc>
          <w:tcPr>
            <w:tcW w:w="1875" w:type="dxa"/>
            <w:tcBorders>
              <w:top w:val="double" w:sz="4" w:space="0" w:color="auto"/>
            </w:tcBorders>
          </w:tcPr>
          <w:p w:rsidR="00C803F9" w:rsidRDefault="00C803F9" w:rsidP="00F21A23">
            <w:pPr>
              <w:pStyle w:val="Normal1"/>
            </w:pPr>
            <w:r>
              <w:t>PH178_F</w:t>
            </w:r>
          </w:p>
        </w:tc>
        <w:tc>
          <w:tcPr>
            <w:tcW w:w="4722" w:type="dxa"/>
            <w:tcBorders>
              <w:top w:val="double" w:sz="4" w:space="0" w:color="auto"/>
            </w:tcBorders>
          </w:tcPr>
          <w:p w:rsidR="00C803F9" w:rsidRDefault="00C803F9" w:rsidP="00F21A23">
            <w:pPr>
              <w:pStyle w:val="Normal1"/>
              <w:jc w:val="right"/>
            </w:pPr>
            <w:r>
              <w:t>TTTAGTCGGCTCTTATCCGGCATG</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ign w:val="center"/>
          </w:tcPr>
          <w:p w:rsidR="00C803F9" w:rsidRDefault="00C803F9" w:rsidP="00F21A23">
            <w:pPr>
              <w:pStyle w:val="Normal1"/>
              <w:jc w:val="center"/>
            </w:pPr>
          </w:p>
        </w:tc>
        <w:tc>
          <w:tcPr>
            <w:tcW w:w="2725" w:type="dxa"/>
            <w:vMerge/>
            <w:vAlign w:val="center"/>
          </w:tcPr>
          <w:p w:rsidR="00C803F9" w:rsidRDefault="00C803F9" w:rsidP="00F21A23">
            <w:pPr>
              <w:pStyle w:val="Normal1"/>
              <w:jc w:val="center"/>
            </w:pPr>
          </w:p>
        </w:tc>
        <w:tc>
          <w:tcPr>
            <w:tcW w:w="1875" w:type="dxa"/>
          </w:tcPr>
          <w:p w:rsidR="00C803F9" w:rsidRDefault="00C803F9" w:rsidP="00F21A23">
            <w:pPr>
              <w:pStyle w:val="Normal1"/>
            </w:pPr>
            <w:r>
              <w:t>PH178_R</w:t>
            </w:r>
          </w:p>
        </w:tc>
        <w:tc>
          <w:tcPr>
            <w:tcW w:w="4722" w:type="dxa"/>
          </w:tcPr>
          <w:p w:rsidR="00C803F9" w:rsidRDefault="00C803F9" w:rsidP="00F21A23">
            <w:pPr>
              <w:pStyle w:val="Normal1"/>
              <w:jc w:val="right"/>
            </w:pPr>
            <w:r>
              <w:t>CAGCAAGTAATAGAACAGGTTCCCCT</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ign w:val="center"/>
          </w:tcPr>
          <w:p w:rsidR="00C803F9" w:rsidRDefault="00C803F9" w:rsidP="00F21A23">
            <w:pPr>
              <w:pStyle w:val="Normal1"/>
              <w:jc w:val="center"/>
            </w:pPr>
          </w:p>
        </w:tc>
        <w:tc>
          <w:tcPr>
            <w:tcW w:w="2725" w:type="dxa"/>
            <w:vMerge/>
            <w:vAlign w:val="center"/>
          </w:tcPr>
          <w:p w:rsidR="00C803F9" w:rsidRDefault="00C803F9" w:rsidP="00F21A23">
            <w:pPr>
              <w:pStyle w:val="Normal1"/>
              <w:jc w:val="center"/>
            </w:pPr>
          </w:p>
        </w:tc>
        <w:tc>
          <w:tcPr>
            <w:tcW w:w="1875" w:type="dxa"/>
          </w:tcPr>
          <w:p w:rsidR="00C803F9" w:rsidRDefault="00C803F9" w:rsidP="00F21A23">
            <w:pPr>
              <w:pStyle w:val="Normal1"/>
            </w:pPr>
            <w:r>
              <w:t>T3_PH178_EX</w:t>
            </w:r>
          </w:p>
        </w:tc>
        <w:tc>
          <w:tcPr>
            <w:tcW w:w="4722" w:type="dxa"/>
          </w:tcPr>
          <w:p w:rsidR="00C803F9" w:rsidRDefault="00C803F9" w:rsidP="00F21A23">
            <w:pPr>
              <w:pStyle w:val="Normal1"/>
              <w:jc w:val="right"/>
            </w:pPr>
            <w:r>
              <w:t>GCTTCAAGGAGAAAATTGCTCAGAACCA</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ign w:val="center"/>
          </w:tcPr>
          <w:p w:rsidR="00C803F9" w:rsidRDefault="00C803F9" w:rsidP="00F21A23">
            <w:pPr>
              <w:pStyle w:val="Normal1"/>
              <w:jc w:val="center"/>
            </w:pPr>
          </w:p>
        </w:tc>
        <w:tc>
          <w:tcPr>
            <w:tcW w:w="2725" w:type="dxa"/>
            <w:vMerge/>
            <w:vAlign w:val="center"/>
          </w:tcPr>
          <w:p w:rsidR="00C803F9" w:rsidRDefault="00C803F9" w:rsidP="00F21A23">
            <w:pPr>
              <w:pStyle w:val="Normal1"/>
              <w:jc w:val="center"/>
            </w:pPr>
          </w:p>
        </w:tc>
        <w:tc>
          <w:tcPr>
            <w:tcW w:w="1875" w:type="dxa"/>
          </w:tcPr>
          <w:p w:rsidR="00C803F9" w:rsidRDefault="00C803F9" w:rsidP="00F21A23">
            <w:pPr>
              <w:pStyle w:val="Normal1"/>
            </w:pPr>
            <w:r>
              <w:t>PH178_P</w:t>
            </w:r>
          </w:p>
        </w:tc>
        <w:tc>
          <w:tcPr>
            <w:tcW w:w="4722" w:type="dxa"/>
          </w:tcPr>
          <w:p w:rsidR="00C803F9" w:rsidRDefault="00C803F9" w:rsidP="00F21A23">
            <w:pPr>
              <w:pStyle w:val="Normal1"/>
              <w:jc w:val="right"/>
            </w:pPr>
            <w:r>
              <w:t>TCAGCTGGAGGATGGAGTTGACCCATGTT</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restart"/>
            <w:vAlign w:val="center"/>
          </w:tcPr>
          <w:p w:rsidR="00C803F9" w:rsidRDefault="00C803F9" w:rsidP="00F21A23">
            <w:pPr>
              <w:pStyle w:val="Normal1"/>
              <w:jc w:val="center"/>
            </w:pPr>
            <w:r>
              <w:t>PH218</w:t>
            </w:r>
          </w:p>
        </w:tc>
        <w:tc>
          <w:tcPr>
            <w:tcW w:w="2725" w:type="dxa"/>
            <w:vMerge w:val="restart"/>
            <w:vAlign w:val="center"/>
          </w:tcPr>
          <w:p w:rsidR="00C803F9" w:rsidRDefault="00C803F9" w:rsidP="00F21A23">
            <w:pPr>
              <w:pStyle w:val="Normal1"/>
              <w:jc w:val="center"/>
            </w:pPr>
            <w:r>
              <w:t>Chorismate mutase</w:t>
            </w:r>
          </w:p>
        </w:tc>
        <w:tc>
          <w:tcPr>
            <w:tcW w:w="1875" w:type="dxa"/>
          </w:tcPr>
          <w:p w:rsidR="00C803F9" w:rsidRDefault="00C803F9" w:rsidP="00F21A23">
            <w:pPr>
              <w:pStyle w:val="Normal1"/>
            </w:pPr>
            <w:r>
              <w:t>T2_PH218_3F</w:t>
            </w:r>
          </w:p>
        </w:tc>
        <w:tc>
          <w:tcPr>
            <w:tcW w:w="4722" w:type="dxa"/>
          </w:tcPr>
          <w:p w:rsidR="00C803F9" w:rsidRDefault="00C803F9" w:rsidP="00F21A23">
            <w:pPr>
              <w:pStyle w:val="Normal1"/>
              <w:jc w:val="right"/>
            </w:pPr>
            <w:r>
              <w:t>ACCGGATCAACATCAACGATCAAATCA</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ign w:val="center"/>
          </w:tcPr>
          <w:p w:rsidR="00C803F9" w:rsidRDefault="00C803F9" w:rsidP="00F21A23">
            <w:pPr>
              <w:pStyle w:val="Normal1"/>
              <w:jc w:val="center"/>
            </w:pPr>
          </w:p>
        </w:tc>
        <w:tc>
          <w:tcPr>
            <w:tcW w:w="2725" w:type="dxa"/>
            <w:vMerge/>
            <w:vAlign w:val="center"/>
          </w:tcPr>
          <w:p w:rsidR="00C803F9" w:rsidRDefault="00C803F9" w:rsidP="00F21A23">
            <w:pPr>
              <w:pStyle w:val="Normal1"/>
              <w:jc w:val="center"/>
            </w:pPr>
          </w:p>
        </w:tc>
        <w:tc>
          <w:tcPr>
            <w:tcW w:w="1875" w:type="dxa"/>
          </w:tcPr>
          <w:p w:rsidR="00C803F9" w:rsidRDefault="00C803F9" w:rsidP="00F21A23">
            <w:pPr>
              <w:pStyle w:val="Normal1"/>
            </w:pPr>
            <w:r>
              <w:t>PH218_3R</w:t>
            </w:r>
          </w:p>
        </w:tc>
        <w:tc>
          <w:tcPr>
            <w:tcW w:w="4722" w:type="dxa"/>
          </w:tcPr>
          <w:p w:rsidR="00C803F9" w:rsidRDefault="00C803F9" w:rsidP="00F21A23">
            <w:pPr>
              <w:pStyle w:val="Normal1"/>
              <w:jc w:val="right"/>
            </w:pPr>
            <w:r>
              <w:t>ACTTGCCGAAATGGATACGCTTACT</w:t>
            </w:r>
          </w:p>
        </w:tc>
      </w:tr>
      <w:tr w:rsidR="00C803F9" w:rsidTr="00F21A23">
        <w:trPr>
          <w:trHeight w:val="149"/>
          <w:jc w:val="center"/>
        </w:trPr>
        <w:tc>
          <w:tcPr>
            <w:tcW w:w="1659" w:type="dxa"/>
            <w:vMerge/>
            <w:vAlign w:val="center"/>
          </w:tcPr>
          <w:p w:rsidR="00C803F9" w:rsidRDefault="00C803F9" w:rsidP="00F21A23">
            <w:pPr>
              <w:pStyle w:val="Normal1"/>
              <w:jc w:val="center"/>
            </w:pPr>
          </w:p>
        </w:tc>
        <w:tc>
          <w:tcPr>
            <w:tcW w:w="974" w:type="dxa"/>
            <w:vMerge/>
            <w:vAlign w:val="center"/>
          </w:tcPr>
          <w:p w:rsidR="00C803F9" w:rsidRDefault="00C803F9" w:rsidP="00F21A23">
            <w:pPr>
              <w:pStyle w:val="Normal1"/>
              <w:jc w:val="center"/>
            </w:pPr>
          </w:p>
        </w:tc>
        <w:tc>
          <w:tcPr>
            <w:tcW w:w="2725" w:type="dxa"/>
            <w:vMerge/>
            <w:vAlign w:val="center"/>
          </w:tcPr>
          <w:p w:rsidR="00C803F9" w:rsidRDefault="00C803F9" w:rsidP="00F21A23">
            <w:pPr>
              <w:pStyle w:val="Normal1"/>
              <w:jc w:val="center"/>
            </w:pPr>
          </w:p>
        </w:tc>
        <w:tc>
          <w:tcPr>
            <w:tcW w:w="1875" w:type="dxa"/>
          </w:tcPr>
          <w:p w:rsidR="00C803F9" w:rsidRDefault="00C803F9" w:rsidP="00F21A23">
            <w:pPr>
              <w:pStyle w:val="Normal1"/>
            </w:pPr>
            <w:r>
              <w:t>T3_PH218_3EX</w:t>
            </w:r>
          </w:p>
        </w:tc>
        <w:tc>
          <w:tcPr>
            <w:tcW w:w="4722" w:type="dxa"/>
          </w:tcPr>
          <w:p w:rsidR="00C803F9" w:rsidRDefault="00C803F9" w:rsidP="00F21A23">
            <w:pPr>
              <w:pStyle w:val="Normal1"/>
              <w:jc w:val="right"/>
            </w:pPr>
            <w:r>
              <w:t>ATGACACCGCGTATGGCTCTACGG</w:t>
            </w:r>
          </w:p>
        </w:tc>
      </w:tr>
      <w:tr w:rsidR="00C803F9" w:rsidTr="00F21A23">
        <w:trPr>
          <w:trHeight w:val="149"/>
          <w:jc w:val="center"/>
        </w:trPr>
        <w:tc>
          <w:tcPr>
            <w:tcW w:w="1659" w:type="dxa"/>
            <w:vMerge/>
            <w:tcBorders>
              <w:bottom w:val="single" w:sz="8" w:space="0" w:color="auto"/>
            </w:tcBorders>
            <w:vAlign w:val="center"/>
          </w:tcPr>
          <w:p w:rsidR="00C803F9" w:rsidRDefault="00C803F9" w:rsidP="00F21A23">
            <w:pPr>
              <w:pStyle w:val="Normal1"/>
              <w:jc w:val="center"/>
            </w:pPr>
          </w:p>
        </w:tc>
        <w:tc>
          <w:tcPr>
            <w:tcW w:w="974" w:type="dxa"/>
            <w:vMerge/>
            <w:tcBorders>
              <w:bottom w:val="single" w:sz="8" w:space="0" w:color="auto"/>
            </w:tcBorders>
            <w:vAlign w:val="center"/>
          </w:tcPr>
          <w:p w:rsidR="00C803F9" w:rsidRDefault="00C803F9" w:rsidP="00F21A23">
            <w:pPr>
              <w:pStyle w:val="Normal1"/>
              <w:jc w:val="center"/>
            </w:pPr>
          </w:p>
        </w:tc>
        <w:tc>
          <w:tcPr>
            <w:tcW w:w="2725" w:type="dxa"/>
            <w:vMerge/>
            <w:tcBorders>
              <w:bottom w:val="single" w:sz="8" w:space="0" w:color="auto"/>
            </w:tcBorders>
            <w:vAlign w:val="center"/>
          </w:tcPr>
          <w:p w:rsidR="00C803F9" w:rsidRDefault="00C803F9" w:rsidP="00F21A23">
            <w:pPr>
              <w:pStyle w:val="Normal1"/>
              <w:jc w:val="center"/>
            </w:pPr>
          </w:p>
        </w:tc>
        <w:tc>
          <w:tcPr>
            <w:tcW w:w="1875" w:type="dxa"/>
            <w:tcBorders>
              <w:bottom w:val="single" w:sz="8" w:space="0" w:color="auto"/>
            </w:tcBorders>
          </w:tcPr>
          <w:p w:rsidR="00C803F9" w:rsidRDefault="00C803F9" w:rsidP="00F21A23">
            <w:pPr>
              <w:pStyle w:val="Normal1"/>
            </w:pPr>
            <w:r>
              <w:t>T2_PH218_3P</w:t>
            </w:r>
          </w:p>
        </w:tc>
        <w:tc>
          <w:tcPr>
            <w:tcW w:w="4722" w:type="dxa"/>
            <w:tcBorders>
              <w:bottom w:val="single" w:sz="8" w:space="0" w:color="auto"/>
            </w:tcBorders>
          </w:tcPr>
          <w:p w:rsidR="00C803F9" w:rsidRDefault="00C803F9" w:rsidP="00F21A23">
            <w:pPr>
              <w:pStyle w:val="Normal1"/>
              <w:jc w:val="right"/>
            </w:pPr>
            <w:r>
              <w:t>CTGCGCAGTTGTTGCTCACTTGGGGGA</w:t>
            </w:r>
          </w:p>
        </w:tc>
      </w:tr>
      <w:tr w:rsidR="00C803F9" w:rsidTr="00F21A23">
        <w:trPr>
          <w:trHeight w:val="249"/>
          <w:jc w:val="center"/>
        </w:trPr>
        <w:tc>
          <w:tcPr>
            <w:tcW w:w="1659" w:type="dxa"/>
            <w:vMerge w:val="restart"/>
            <w:tcBorders>
              <w:top w:val="single" w:sz="8" w:space="0" w:color="auto"/>
            </w:tcBorders>
            <w:vAlign w:val="center"/>
          </w:tcPr>
          <w:p w:rsidR="00C803F9" w:rsidRPr="001B7352" w:rsidRDefault="00C803F9" w:rsidP="00F21A23">
            <w:pPr>
              <w:pStyle w:val="Normal1"/>
              <w:jc w:val="center"/>
              <w:rPr>
                <w:i/>
              </w:rPr>
            </w:pPr>
            <w:r w:rsidRPr="001B7352">
              <w:rPr>
                <w:i/>
              </w:rPr>
              <w:t>G. clavigera</w:t>
            </w:r>
          </w:p>
        </w:tc>
        <w:tc>
          <w:tcPr>
            <w:tcW w:w="974" w:type="dxa"/>
            <w:vMerge w:val="restart"/>
            <w:tcBorders>
              <w:top w:val="single" w:sz="8" w:space="0" w:color="auto"/>
            </w:tcBorders>
            <w:vAlign w:val="center"/>
          </w:tcPr>
          <w:p w:rsidR="00C803F9" w:rsidRDefault="00C803F9" w:rsidP="00F21A23">
            <w:pPr>
              <w:pStyle w:val="Normal1"/>
              <w:jc w:val="center"/>
            </w:pPr>
            <w:r>
              <w:t>MS359</w:t>
            </w:r>
          </w:p>
        </w:tc>
        <w:tc>
          <w:tcPr>
            <w:tcW w:w="2725" w:type="dxa"/>
            <w:vMerge w:val="restart"/>
            <w:tcBorders>
              <w:top w:val="single" w:sz="8" w:space="0" w:color="auto"/>
            </w:tcBorders>
            <w:vAlign w:val="center"/>
          </w:tcPr>
          <w:p w:rsidR="00C803F9" w:rsidRDefault="00C803F9" w:rsidP="00F21A23">
            <w:pPr>
              <w:pStyle w:val="Normal1"/>
              <w:jc w:val="center"/>
            </w:pPr>
            <w:r>
              <w:t>NAD-dependent 510-methylenetetrahydrafolate dehydrogenase</w:t>
            </w:r>
          </w:p>
        </w:tc>
        <w:tc>
          <w:tcPr>
            <w:tcW w:w="1875" w:type="dxa"/>
            <w:tcBorders>
              <w:top w:val="single" w:sz="8" w:space="0" w:color="auto"/>
            </w:tcBorders>
          </w:tcPr>
          <w:p w:rsidR="00C803F9" w:rsidRDefault="00C803F9" w:rsidP="00F21A23">
            <w:pPr>
              <w:pStyle w:val="Normal1"/>
            </w:pPr>
            <w:r>
              <w:t>MS359_F</w:t>
            </w:r>
          </w:p>
        </w:tc>
        <w:tc>
          <w:tcPr>
            <w:tcW w:w="4722" w:type="dxa"/>
            <w:tcBorders>
              <w:top w:val="single" w:sz="8" w:space="0" w:color="auto"/>
            </w:tcBorders>
          </w:tcPr>
          <w:p w:rsidR="00C803F9" w:rsidRDefault="00C803F9" w:rsidP="00F21A23">
            <w:pPr>
              <w:pStyle w:val="Normal1"/>
              <w:jc w:val="right"/>
            </w:pPr>
            <w:r>
              <w:t>AACAATGACCCTGCCGCA</w:t>
            </w:r>
          </w:p>
        </w:tc>
      </w:tr>
      <w:tr w:rsidR="00C803F9" w:rsidTr="00F21A23">
        <w:trPr>
          <w:trHeight w:val="149"/>
          <w:jc w:val="center"/>
        </w:trPr>
        <w:tc>
          <w:tcPr>
            <w:tcW w:w="1659" w:type="dxa"/>
            <w:vMerge/>
          </w:tcPr>
          <w:p w:rsidR="00C803F9" w:rsidRDefault="00C803F9" w:rsidP="00F21A23">
            <w:pPr>
              <w:pStyle w:val="Normal1"/>
            </w:pPr>
          </w:p>
        </w:tc>
        <w:tc>
          <w:tcPr>
            <w:tcW w:w="974" w:type="dxa"/>
            <w:vMerge/>
          </w:tcPr>
          <w:p w:rsidR="00C803F9" w:rsidRDefault="00C803F9" w:rsidP="00F21A23">
            <w:pPr>
              <w:pStyle w:val="Normal1"/>
            </w:pPr>
          </w:p>
        </w:tc>
        <w:tc>
          <w:tcPr>
            <w:tcW w:w="2725" w:type="dxa"/>
            <w:vMerge/>
          </w:tcPr>
          <w:p w:rsidR="00C803F9" w:rsidRDefault="00C803F9" w:rsidP="00F21A23">
            <w:pPr>
              <w:pStyle w:val="Normal1"/>
            </w:pPr>
          </w:p>
        </w:tc>
        <w:tc>
          <w:tcPr>
            <w:tcW w:w="1875" w:type="dxa"/>
          </w:tcPr>
          <w:p w:rsidR="00C803F9" w:rsidRDefault="00C803F9" w:rsidP="00F21A23">
            <w:pPr>
              <w:pStyle w:val="Normal1"/>
            </w:pPr>
            <w:r>
              <w:t>MS359_R</w:t>
            </w:r>
          </w:p>
        </w:tc>
        <w:tc>
          <w:tcPr>
            <w:tcW w:w="4722" w:type="dxa"/>
          </w:tcPr>
          <w:p w:rsidR="00C803F9" w:rsidRDefault="00C803F9" w:rsidP="00F21A23">
            <w:pPr>
              <w:pStyle w:val="Normal1"/>
              <w:jc w:val="right"/>
            </w:pPr>
            <w:r>
              <w:t>CGTCAATCGAGTCGTCGTTATTG</w:t>
            </w:r>
          </w:p>
        </w:tc>
      </w:tr>
      <w:tr w:rsidR="00C803F9" w:rsidTr="00F21A23">
        <w:trPr>
          <w:trHeight w:val="149"/>
          <w:jc w:val="center"/>
        </w:trPr>
        <w:tc>
          <w:tcPr>
            <w:tcW w:w="1659" w:type="dxa"/>
            <w:vMerge/>
          </w:tcPr>
          <w:p w:rsidR="00C803F9" w:rsidRDefault="00C803F9" w:rsidP="00F21A23">
            <w:pPr>
              <w:pStyle w:val="Normal1"/>
            </w:pPr>
          </w:p>
        </w:tc>
        <w:tc>
          <w:tcPr>
            <w:tcW w:w="974" w:type="dxa"/>
            <w:vMerge/>
          </w:tcPr>
          <w:p w:rsidR="00C803F9" w:rsidRDefault="00C803F9" w:rsidP="00F21A23">
            <w:pPr>
              <w:pStyle w:val="Normal1"/>
            </w:pPr>
          </w:p>
        </w:tc>
        <w:tc>
          <w:tcPr>
            <w:tcW w:w="2725" w:type="dxa"/>
            <w:vMerge/>
          </w:tcPr>
          <w:p w:rsidR="00C803F9" w:rsidRDefault="00C803F9" w:rsidP="00F21A23">
            <w:pPr>
              <w:pStyle w:val="Normal1"/>
            </w:pPr>
          </w:p>
        </w:tc>
        <w:tc>
          <w:tcPr>
            <w:tcW w:w="1875" w:type="dxa"/>
          </w:tcPr>
          <w:p w:rsidR="00C803F9" w:rsidRDefault="00C803F9" w:rsidP="00F21A23">
            <w:pPr>
              <w:pStyle w:val="Normal1"/>
            </w:pPr>
            <w:r>
              <w:t>MS359_EX</w:t>
            </w:r>
          </w:p>
        </w:tc>
        <w:tc>
          <w:tcPr>
            <w:tcW w:w="4722" w:type="dxa"/>
          </w:tcPr>
          <w:p w:rsidR="00C803F9" w:rsidRDefault="00C803F9" w:rsidP="00F21A23">
            <w:pPr>
              <w:pStyle w:val="Normal1"/>
              <w:jc w:val="right"/>
            </w:pPr>
            <w:r>
              <w:t>CTGCCAAGAGAATGGCTTCGCCTTC</w:t>
            </w:r>
          </w:p>
        </w:tc>
      </w:tr>
      <w:tr w:rsidR="00C803F9" w:rsidTr="00F21A23">
        <w:trPr>
          <w:trHeight w:val="149"/>
          <w:jc w:val="center"/>
        </w:trPr>
        <w:tc>
          <w:tcPr>
            <w:tcW w:w="1659" w:type="dxa"/>
            <w:vMerge/>
            <w:tcBorders>
              <w:bottom w:val="single" w:sz="8" w:space="0" w:color="auto"/>
            </w:tcBorders>
          </w:tcPr>
          <w:p w:rsidR="00C803F9" w:rsidRDefault="00C803F9" w:rsidP="00F21A23">
            <w:pPr>
              <w:pStyle w:val="Normal1"/>
            </w:pPr>
          </w:p>
        </w:tc>
        <w:tc>
          <w:tcPr>
            <w:tcW w:w="974" w:type="dxa"/>
            <w:vMerge/>
            <w:tcBorders>
              <w:bottom w:val="single" w:sz="8" w:space="0" w:color="auto"/>
            </w:tcBorders>
          </w:tcPr>
          <w:p w:rsidR="00C803F9" w:rsidRDefault="00C803F9" w:rsidP="00F21A23">
            <w:pPr>
              <w:pStyle w:val="Normal1"/>
            </w:pPr>
          </w:p>
        </w:tc>
        <w:tc>
          <w:tcPr>
            <w:tcW w:w="2725" w:type="dxa"/>
            <w:vMerge/>
            <w:tcBorders>
              <w:bottom w:val="single" w:sz="8" w:space="0" w:color="auto"/>
            </w:tcBorders>
          </w:tcPr>
          <w:p w:rsidR="00C803F9" w:rsidRDefault="00C803F9" w:rsidP="00F21A23">
            <w:pPr>
              <w:pStyle w:val="Normal1"/>
            </w:pPr>
          </w:p>
        </w:tc>
        <w:tc>
          <w:tcPr>
            <w:tcW w:w="1875" w:type="dxa"/>
            <w:tcBorders>
              <w:bottom w:val="single" w:sz="8" w:space="0" w:color="auto"/>
            </w:tcBorders>
          </w:tcPr>
          <w:p w:rsidR="00C803F9" w:rsidRDefault="00C803F9" w:rsidP="00F21A23">
            <w:pPr>
              <w:pStyle w:val="Normal1"/>
            </w:pPr>
            <w:r>
              <w:t>MS359_P</w:t>
            </w:r>
          </w:p>
        </w:tc>
        <w:tc>
          <w:tcPr>
            <w:tcW w:w="4722" w:type="dxa"/>
            <w:tcBorders>
              <w:bottom w:val="single" w:sz="8" w:space="0" w:color="auto"/>
            </w:tcBorders>
          </w:tcPr>
          <w:p w:rsidR="00C803F9" w:rsidRDefault="00C803F9" w:rsidP="00F21A23">
            <w:pPr>
              <w:pStyle w:val="Normal1"/>
              <w:jc w:val="right"/>
            </w:pPr>
            <w:r>
              <w:t>CTATGGTCAATTGGCTCTATGACTCGTGA</w:t>
            </w:r>
          </w:p>
        </w:tc>
      </w:tr>
    </w:tbl>
    <w:p w:rsidR="00C803F9" w:rsidRDefault="00C803F9" w:rsidP="00C803F9">
      <w:pPr>
        <w:pStyle w:val="Normal1"/>
        <w:keepNext/>
        <w:spacing w:after="200" w:line="240" w:lineRule="auto"/>
        <w:rPr>
          <w:sz w:val="20"/>
          <w:szCs w:val="18"/>
        </w:rPr>
        <w:sectPr w:rsidR="00C803F9" w:rsidSect="00C803F9">
          <w:pgSz w:w="15840" w:h="12240" w:orient="landscape"/>
          <w:pgMar w:top="1440" w:right="1440" w:bottom="1440" w:left="1440" w:header="720" w:footer="720" w:gutter="0"/>
          <w:cols w:space="720"/>
          <w:docGrid w:linePitch="326"/>
        </w:sectPr>
      </w:pPr>
    </w:p>
    <w:p w:rsidR="00C803F9" w:rsidRPr="00C803F9" w:rsidRDefault="00C803F9"/>
    <w:sectPr w:rsidR="00C803F9" w:rsidRPr="00C803F9" w:rsidSect="00984A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88" w:rsidRDefault="009B0088" w:rsidP="00C803F9">
      <w:r>
        <w:separator/>
      </w:r>
    </w:p>
  </w:endnote>
  <w:endnote w:type="continuationSeparator" w:id="0">
    <w:p w:rsidR="009B0088" w:rsidRDefault="009B0088" w:rsidP="00C8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88" w:rsidRDefault="009B0088" w:rsidP="00C803F9">
      <w:r>
        <w:separator/>
      </w:r>
    </w:p>
  </w:footnote>
  <w:footnote w:type="continuationSeparator" w:id="0">
    <w:p w:rsidR="009B0088" w:rsidRDefault="009B0088" w:rsidP="00C803F9">
      <w:r>
        <w:continuationSeparator/>
      </w:r>
    </w:p>
  </w:footnote>
  <w:footnote w:id="1">
    <w:p w:rsidR="00C803F9" w:rsidRPr="004142D4" w:rsidRDefault="00C803F9" w:rsidP="00C803F9">
      <w:pPr>
        <w:pStyle w:val="FootnoteText"/>
        <w:rPr>
          <w:lang w:val="en-US"/>
        </w:rPr>
      </w:pPr>
      <w:r>
        <w:rPr>
          <w:rStyle w:val="FootnoteReference"/>
        </w:rPr>
        <w:footnoteRef/>
      </w:r>
      <w:r>
        <w:rPr>
          <w:lang w:val="en-US"/>
        </w:rPr>
        <w:t xml:space="preserve"> Assay names ending with “_F” and “_R” refers to the direction of the oligonucleotides</w:t>
      </w:r>
    </w:p>
  </w:footnote>
  <w:footnote w:id="2">
    <w:p w:rsidR="00C803F9" w:rsidRPr="004142D4" w:rsidRDefault="00C803F9" w:rsidP="00C803F9">
      <w:pPr>
        <w:pStyle w:val="FootnoteText"/>
        <w:rPr>
          <w:lang w:val="en-US"/>
        </w:rPr>
      </w:pPr>
      <w:r>
        <w:rPr>
          <w:rStyle w:val="FootnoteReference"/>
        </w:rPr>
        <w:footnoteRef/>
      </w:r>
      <w:r>
        <w:t xml:space="preserve"> </w:t>
      </w:r>
      <w:r>
        <w:rPr>
          <w:lang w:val="en-US"/>
        </w:rPr>
        <w:t>Assay names ending with “_EX” and “_P” refers to the probe sequences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F9"/>
    <w:rsid w:val="000172F6"/>
    <w:rsid w:val="0005572B"/>
    <w:rsid w:val="00115CA1"/>
    <w:rsid w:val="00151206"/>
    <w:rsid w:val="00170CB7"/>
    <w:rsid w:val="001D052F"/>
    <w:rsid w:val="00271B8E"/>
    <w:rsid w:val="00317945"/>
    <w:rsid w:val="003A708D"/>
    <w:rsid w:val="004412BD"/>
    <w:rsid w:val="004C7EE1"/>
    <w:rsid w:val="004F5819"/>
    <w:rsid w:val="00551C7A"/>
    <w:rsid w:val="005B1162"/>
    <w:rsid w:val="006A1028"/>
    <w:rsid w:val="006C6FC6"/>
    <w:rsid w:val="0074226F"/>
    <w:rsid w:val="007647F6"/>
    <w:rsid w:val="008749F1"/>
    <w:rsid w:val="008C2442"/>
    <w:rsid w:val="008D4A3D"/>
    <w:rsid w:val="008F0661"/>
    <w:rsid w:val="00984AA7"/>
    <w:rsid w:val="009A269D"/>
    <w:rsid w:val="009B0088"/>
    <w:rsid w:val="009C4340"/>
    <w:rsid w:val="009C4661"/>
    <w:rsid w:val="009E0478"/>
    <w:rsid w:val="00A928DC"/>
    <w:rsid w:val="00AB4116"/>
    <w:rsid w:val="00AB7C33"/>
    <w:rsid w:val="00C803F9"/>
    <w:rsid w:val="00D7054B"/>
    <w:rsid w:val="00E81501"/>
    <w:rsid w:val="00F30CE0"/>
    <w:rsid w:val="00F407BB"/>
    <w:rsid w:val="00F73726"/>
    <w:rsid w:val="00FC1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31A7"/>
  <w15:chartTrackingRefBased/>
  <w15:docId w15:val="{5C7712D2-3C98-E241-8221-5E78BBC6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3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803F9"/>
    <w:pPr>
      <w:keepNext/>
      <w:keepLines/>
      <w:spacing w:before="40" w:line="360" w:lineRule="auto"/>
      <w:outlineLvl w:val="2"/>
    </w:pPr>
    <w:rPr>
      <w:rFonts w:ascii="Calibri" w:eastAsia="Calibri" w:hAnsi="Calibri" w:cs="Calibri"/>
      <w:color w:val="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3F9"/>
    <w:rPr>
      <w:rFonts w:ascii="Calibri" w:eastAsia="Calibri" w:hAnsi="Calibri" w:cs="Calibri"/>
      <w:color w:val="1E4D78"/>
      <w:lang w:val="en-US"/>
    </w:rPr>
  </w:style>
  <w:style w:type="character" w:customStyle="1" w:styleId="Heading1Char">
    <w:name w:val="Heading 1 Char"/>
    <w:basedOn w:val="DefaultParagraphFont"/>
    <w:link w:val="Heading1"/>
    <w:uiPriority w:val="9"/>
    <w:rsid w:val="00C803F9"/>
    <w:rPr>
      <w:rFonts w:asciiTheme="majorHAnsi" w:eastAsiaTheme="majorEastAsia" w:hAnsiTheme="majorHAnsi" w:cstheme="majorBidi"/>
      <w:color w:val="2F5496" w:themeColor="accent1" w:themeShade="BF"/>
      <w:sz w:val="32"/>
      <w:szCs w:val="32"/>
    </w:rPr>
  </w:style>
  <w:style w:type="paragraph" w:customStyle="1" w:styleId="Normal1">
    <w:name w:val="Normal1"/>
    <w:rsid w:val="00C803F9"/>
    <w:pPr>
      <w:spacing w:after="160" w:line="360" w:lineRule="auto"/>
    </w:pPr>
    <w:rPr>
      <w:rFonts w:ascii="Calibri" w:eastAsia="Calibri" w:hAnsi="Calibri" w:cs="Calibri"/>
      <w:color w:val="000000"/>
      <w:sz w:val="22"/>
      <w:szCs w:val="22"/>
    </w:rPr>
  </w:style>
  <w:style w:type="paragraph" w:styleId="FootnoteText">
    <w:name w:val="footnote text"/>
    <w:basedOn w:val="Normal"/>
    <w:link w:val="FootnoteTextChar"/>
    <w:uiPriority w:val="99"/>
    <w:unhideWhenUsed/>
    <w:rsid w:val="00C803F9"/>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C803F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803F9"/>
    <w:rPr>
      <w:vertAlign w:val="superscript"/>
    </w:rPr>
  </w:style>
  <w:style w:type="table" w:styleId="TableGrid">
    <w:name w:val="Table Grid"/>
    <w:basedOn w:val="TableNormal"/>
    <w:uiPriority w:val="59"/>
    <w:rsid w:val="00C803F9"/>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Hamelin</dc:creator>
  <cp:keywords/>
  <dc:description/>
  <cp:lastModifiedBy>Yueh, Hesther</cp:lastModifiedBy>
  <cp:revision>4</cp:revision>
  <dcterms:created xsi:type="dcterms:W3CDTF">2019-12-23T19:06:00Z</dcterms:created>
  <dcterms:modified xsi:type="dcterms:W3CDTF">2019-12-23T19:12:00Z</dcterms:modified>
</cp:coreProperties>
</file>