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Sequence of SSR and Indel primers for the genetic linkage map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eastAsia="黑体" w:cs="Times New Roman"/>
          <w:sz w:val="20"/>
          <w:szCs w:val="20"/>
        </w:rPr>
        <w:t>numerous spines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gene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 cucumber</w:t>
      </w:r>
    </w:p>
    <w:p>
      <w:pPr>
        <w:widowControl/>
        <w:spacing w:line="480" w:lineRule="auto"/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alidity of the </w:t>
      </w:r>
      <w:r>
        <w:rPr>
          <w:rFonts w:ascii="Times New Roman" w:hAnsi="Times New Roman" w:cs="Times New Roman"/>
          <w:sz w:val="20"/>
          <w:szCs w:val="20"/>
        </w:rPr>
        <w:t>SSRns-127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marker tightly linked to the </w:t>
      </w:r>
      <w:r>
        <w:rPr>
          <w:rFonts w:hint="eastAsia" w:ascii="Times New Roman" w:hAnsi="Times New Roman" w:cs="Times New Roman"/>
          <w:sz w:val="20"/>
          <w:szCs w:val="20"/>
        </w:rPr>
        <w:t>numerous spines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gene was tested using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hint="eastAsia" w:ascii="Times New Roman" w:hAnsi="Times New Roman" w:cs="Times New Roman"/>
          <w:sz w:val="20"/>
          <w:szCs w:val="20"/>
        </w:rPr>
        <w:t xml:space="preserve"> F</w:t>
      </w:r>
      <w:r>
        <w:rPr>
          <w:rFonts w:hint="eastAsia"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hint="eastAsia" w:ascii="Times New Roman" w:hAnsi="Times New Roman" w:cs="Times New Roman"/>
          <w:sz w:val="20"/>
          <w:szCs w:val="20"/>
        </w:rPr>
        <w:t xml:space="preserve"> population with 60 plants derived from the cross of </w:t>
      </w:r>
      <w:r>
        <w:rPr>
          <w:rFonts w:ascii="Times New Roman" w:hAnsi="Times New Roman" w:cs="Times New Roman"/>
          <w:sz w:val="20"/>
          <w:szCs w:val="20"/>
        </w:rPr>
        <w:t>Coolgreen×NCG-127</w:t>
      </w:r>
    </w:p>
    <w:p>
      <w:pPr>
        <w:widowControl/>
        <w:spacing w:line="480" w:lineRule="auto"/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kern w:val="0"/>
          <w:sz w:val="20"/>
          <w:szCs w:val="20"/>
        </w:rPr>
        <w:t xml:space="preserve">Table </w:t>
      </w:r>
      <w:r>
        <w:rPr>
          <w:rFonts w:hint="eastAsia" w:ascii="Times New Roman" w:hAnsi="Times New Roman" w:cs="Times New Roman"/>
          <w:b/>
          <w:kern w:val="0"/>
          <w:sz w:val="20"/>
          <w:szCs w:val="20"/>
        </w:rPr>
        <w:t>3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Annotation of genes located in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i/>
          <w:kern w:val="0"/>
          <w:sz w:val="20"/>
          <w:szCs w:val="20"/>
        </w:rPr>
        <w:t>ns</w:t>
      </w:r>
      <w:r>
        <w:rPr>
          <w:rFonts w:ascii="Times New Roman" w:hAnsi="Times New Roman" w:cs="Times New Roman"/>
          <w:i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genetic mapping region</w:t>
      </w:r>
    </w:p>
    <w:p>
      <w:pPr>
        <w:spacing w:line="480" w:lineRule="auto"/>
        <w:rPr>
          <w:rFonts w:ascii="Times New Roman" w:hAnsi="Times New Roman" w:eastAsia="黑体" w:cs="Times New Roman"/>
          <w:sz w:val="20"/>
          <w:szCs w:val="20"/>
        </w:rPr>
      </w:pPr>
      <w:r>
        <w:rPr>
          <w:rFonts w:ascii="Times New Roman" w:hAnsi="Times New Roman" w:eastAsia="黑体" w:cs="Times New Roman"/>
          <w:b/>
          <w:sz w:val="20"/>
          <w:szCs w:val="20"/>
        </w:rPr>
        <w:t>Fig</w:t>
      </w:r>
      <w:r>
        <w:rPr>
          <w:rFonts w:hint="eastAsia" w:ascii="Times New Roman" w:hAnsi="Times New Roman" w:eastAsia="黑体" w:cs="Times New Roman"/>
          <w:b/>
          <w:sz w:val="20"/>
          <w:szCs w:val="20"/>
        </w:rPr>
        <w:t xml:space="preserve">ure </w:t>
      </w:r>
      <w:r>
        <w:rPr>
          <w:rFonts w:ascii="Times New Roman" w:hAnsi="Times New Roman" w:eastAsia="黑体" w:cs="Times New Roman"/>
          <w:b/>
          <w:sz w:val="20"/>
          <w:szCs w:val="20"/>
        </w:rPr>
        <w:t>1</w:t>
      </w:r>
      <w:r>
        <w:rPr>
          <w:rFonts w:hint="eastAsia" w:ascii="Times New Roman" w:hAnsi="Times New Roman" w:eastAsia="黑体" w:cs="Times New Roman"/>
          <w:b/>
          <w:sz w:val="20"/>
          <w:szCs w:val="20"/>
        </w:rPr>
        <w:t>.</w:t>
      </w:r>
      <w:r>
        <w:rPr>
          <w:rFonts w:ascii="Times New Roman" w:hAnsi="Times New Roman" w:eastAsia="黑体" w:cs="Times New Roman"/>
          <w:sz w:val="20"/>
          <w:szCs w:val="20"/>
        </w:rPr>
        <w:t xml:space="preserve"> Phenotype pictures of the parental lines</w:t>
      </w:r>
      <w:r>
        <w:rPr>
          <w:rFonts w:hint="eastAsia" w:ascii="Times New Roman" w:hAnsi="Times New Roman" w:eastAsia="黑体" w:cs="Times New Roman"/>
          <w:sz w:val="20"/>
          <w:szCs w:val="20"/>
        </w:rPr>
        <w:t xml:space="preserve"> and</w:t>
      </w:r>
      <w:r>
        <w:rPr>
          <w:rFonts w:ascii="Times New Roman" w:hAnsi="Times New Roman" w:eastAsia="黑体" w:cs="Times New Roman"/>
          <w:sz w:val="20"/>
          <w:szCs w:val="20"/>
        </w:rPr>
        <w:t xml:space="preserve"> F</w:t>
      </w:r>
      <w:r>
        <w:rPr>
          <w:rFonts w:ascii="Times New Roman" w:hAnsi="Times New Roman" w:eastAsia="黑体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eastAsia="黑体" w:cs="Times New Roman"/>
          <w:sz w:val="20"/>
          <w:szCs w:val="20"/>
        </w:rPr>
        <w:t>.</w:t>
      </w:r>
      <w:r>
        <w:rPr>
          <w:rFonts w:hint="eastAsia" w:ascii="Times New Roman" w:hAnsi="Times New Roman" w:eastAsia="黑体" w:cs="Times New Roman"/>
          <w:sz w:val="20"/>
          <w:szCs w:val="20"/>
        </w:rPr>
        <w:t xml:space="preserve"> a:</w:t>
      </w:r>
      <w:r>
        <w:rPr>
          <w:rFonts w:ascii="Times New Roman" w:hAnsi="Times New Roman" w:eastAsia="黑体" w:cs="Times New Roman"/>
          <w:sz w:val="20"/>
          <w:szCs w:val="20"/>
        </w:rPr>
        <w:t xml:space="preserve"> P</w:t>
      </w:r>
      <w:r>
        <w:rPr>
          <w:rFonts w:ascii="Times New Roman" w:hAnsi="Times New Roman" w:eastAsia="黑体" w:cs="Times New Roman"/>
          <w:sz w:val="20"/>
          <w:szCs w:val="20"/>
          <w:vertAlign w:val="subscript"/>
        </w:rPr>
        <w:t xml:space="preserve">1 </w:t>
      </w:r>
      <w:r>
        <w:rPr>
          <w:rFonts w:ascii="Times New Roman" w:hAnsi="Times New Roman" w:eastAsia="黑体" w:cs="Times New Roman"/>
          <w:sz w:val="20"/>
          <w:szCs w:val="20"/>
        </w:rPr>
        <w:t>(N</w:t>
      </w:r>
      <w:r>
        <w:rPr>
          <w:rFonts w:hint="eastAsia" w:ascii="Times New Roman" w:hAnsi="Times New Roman" w:eastAsia="黑体" w:cs="Times New Roman"/>
          <w:sz w:val="20"/>
          <w:szCs w:val="20"/>
        </w:rPr>
        <w:t>CG</w:t>
      </w:r>
      <w:bookmarkStart w:id="2" w:name="_GoBack"/>
      <w:bookmarkEnd w:id="2"/>
      <w:r>
        <w:rPr>
          <w:rFonts w:hint="eastAsia" w:ascii="Times New Roman" w:hAnsi="Times New Roman" w:eastAsia="黑体" w:cs="Times New Roman"/>
          <w:sz w:val="20"/>
          <w:szCs w:val="20"/>
        </w:rPr>
        <w:t>-122 fruit with numerous spines</w:t>
      </w:r>
      <w:r>
        <w:rPr>
          <w:rFonts w:ascii="Times New Roman" w:hAnsi="Times New Roman" w:eastAsia="黑体" w:cs="Times New Roman"/>
          <w:sz w:val="20"/>
          <w:szCs w:val="20"/>
        </w:rPr>
        <w:t xml:space="preserve">); </w:t>
      </w:r>
      <w:r>
        <w:rPr>
          <w:rFonts w:hint="eastAsia" w:ascii="Times New Roman" w:hAnsi="Times New Roman" w:eastAsia="黑体" w:cs="Times New Roman"/>
          <w:sz w:val="20"/>
          <w:szCs w:val="20"/>
        </w:rPr>
        <w:t>b:</w:t>
      </w:r>
      <w:r>
        <w:rPr>
          <w:rFonts w:ascii="Times New Roman" w:hAnsi="Times New Roman" w:eastAsia="黑体" w:cs="Times New Roman"/>
          <w:sz w:val="20"/>
          <w:szCs w:val="20"/>
        </w:rPr>
        <w:t xml:space="preserve"> P</w:t>
      </w:r>
      <w:r>
        <w:rPr>
          <w:rFonts w:ascii="Times New Roman" w:hAnsi="Times New Roman" w:eastAsia="黑体" w:cs="Times New Roman"/>
          <w:sz w:val="20"/>
          <w:szCs w:val="20"/>
          <w:vertAlign w:val="subscript"/>
        </w:rPr>
        <w:t xml:space="preserve">2 </w:t>
      </w:r>
      <w:r>
        <w:rPr>
          <w:rFonts w:ascii="Times New Roman" w:hAnsi="Times New Roman" w:eastAsia="黑体" w:cs="Times New Roman"/>
          <w:sz w:val="20"/>
          <w:szCs w:val="20"/>
        </w:rPr>
        <w:t>(N</w:t>
      </w:r>
      <w:r>
        <w:rPr>
          <w:rFonts w:hint="eastAsia" w:ascii="Times New Roman" w:hAnsi="Times New Roman" w:eastAsia="黑体" w:cs="Times New Roman"/>
          <w:sz w:val="20"/>
          <w:szCs w:val="20"/>
        </w:rPr>
        <w:t>CG-121</w:t>
      </w:r>
      <w:r>
        <w:rPr>
          <w:rFonts w:ascii="Times New Roman" w:hAnsi="Times New Roman" w:eastAsia="黑体" w:cs="Times New Roman"/>
          <w:sz w:val="20"/>
          <w:szCs w:val="20"/>
        </w:rPr>
        <w:t xml:space="preserve"> </w:t>
      </w:r>
      <w:r>
        <w:rPr>
          <w:rFonts w:hint="eastAsia" w:ascii="Times New Roman" w:hAnsi="Times New Roman" w:eastAsia="黑体" w:cs="Times New Roman"/>
          <w:sz w:val="20"/>
          <w:szCs w:val="20"/>
        </w:rPr>
        <w:t xml:space="preserve">fruit </w:t>
      </w:r>
      <w:r>
        <w:rPr>
          <w:rFonts w:ascii="Times New Roman" w:hAnsi="Times New Roman" w:eastAsia="黑体" w:cs="Times New Roman"/>
          <w:sz w:val="20"/>
          <w:szCs w:val="20"/>
        </w:rPr>
        <w:t>with</w:t>
      </w:r>
      <w:r>
        <w:rPr>
          <w:rFonts w:hint="eastAsia" w:ascii="Times New Roman" w:hAnsi="Times New Roman" w:eastAsia="黑体" w:cs="Times New Roman"/>
          <w:sz w:val="20"/>
          <w:szCs w:val="20"/>
        </w:rPr>
        <w:t xml:space="preserve"> few spines</w:t>
      </w:r>
      <w:r>
        <w:rPr>
          <w:rFonts w:ascii="Times New Roman" w:hAnsi="Times New Roman" w:eastAsia="黑体" w:cs="Times New Roman"/>
          <w:sz w:val="20"/>
          <w:szCs w:val="20"/>
        </w:rPr>
        <w:t>)</w:t>
      </w:r>
      <w:r>
        <w:rPr>
          <w:rFonts w:hint="eastAsia" w:ascii="Times New Roman" w:hAnsi="Times New Roman" w:eastAsia="黑体" w:cs="Times New Roman"/>
          <w:sz w:val="20"/>
          <w:szCs w:val="20"/>
        </w:rPr>
        <w:t xml:space="preserve">; c: </w:t>
      </w:r>
      <w:r>
        <w:rPr>
          <w:rFonts w:ascii="Times New Roman" w:hAnsi="Times New Roman" w:eastAsia="黑体" w:cs="Times New Roman"/>
          <w:sz w:val="20"/>
          <w:szCs w:val="20"/>
        </w:rPr>
        <w:t>F</w:t>
      </w:r>
      <w:r>
        <w:rPr>
          <w:rFonts w:ascii="Times New Roman" w:hAnsi="Times New Roman" w:eastAsia="黑体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eastAsia="黑体" w:cs="Times New Roman"/>
          <w:sz w:val="20"/>
          <w:szCs w:val="20"/>
        </w:rPr>
        <w:t xml:space="preserve"> (</w:t>
      </w:r>
      <w:r>
        <w:rPr>
          <w:rFonts w:hint="eastAsia" w:ascii="Times New Roman" w:hAnsi="Times New Roman" w:eastAsia="黑体" w:cs="Times New Roman"/>
          <w:sz w:val="20"/>
          <w:szCs w:val="20"/>
        </w:rPr>
        <w:t xml:space="preserve">fruit </w:t>
      </w:r>
      <w:r>
        <w:rPr>
          <w:rFonts w:ascii="Times New Roman" w:hAnsi="Times New Roman" w:eastAsia="黑体" w:cs="Times New Roman"/>
          <w:sz w:val="20"/>
          <w:szCs w:val="20"/>
        </w:rPr>
        <w:t>with</w:t>
      </w:r>
      <w:r>
        <w:rPr>
          <w:rFonts w:hint="eastAsia" w:ascii="Times New Roman" w:hAnsi="Times New Roman" w:eastAsia="黑体" w:cs="Times New Roman"/>
          <w:sz w:val="20"/>
          <w:szCs w:val="20"/>
        </w:rPr>
        <w:t xml:space="preserve"> few spines</w:t>
      </w:r>
      <w:r>
        <w:rPr>
          <w:rFonts w:ascii="Times New Roman" w:hAnsi="Times New Roman" w:eastAsia="黑体" w:cs="Times New Roman"/>
          <w:sz w:val="20"/>
          <w:szCs w:val="20"/>
        </w:rPr>
        <w:t xml:space="preserve">). </w:t>
      </w:r>
    </w:p>
    <w:p>
      <w:pPr>
        <w:spacing w:line="480" w:lineRule="auto"/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Fig</w:t>
      </w:r>
      <w:r>
        <w:rPr>
          <w:rFonts w:hint="eastAsia" w:ascii="Times New Roman" w:hAnsi="Times New Roman" w:cs="Times New Roman"/>
          <w:b/>
          <w:sz w:val="20"/>
          <w:szCs w:val="20"/>
        </w:rPr>
        <w:t xml:space="preserve">ure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2</w:t>
      </w:r>
      <w:r>
        <w:rPr>
          <w:rFonts w:hint="eastAsia"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Molecular marker linkage and chromosomal mapping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hint="eastAsia" w:ascii="Times New Roman" w:hAnsi="Times New Roman" w:cs="Times New Roman"/>
          <w:sz w:val="20"/>
          <w:szCs w:val="20"/>
        </w:rPr>
        <w:t>numerous spines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gene in cucumber</w:t>
      </w:r>
      <w:r>
        <w:rPr>
          <w:rFonts w:hint="eastAsia" w:ascii="Times New Roman" w:hAnsi="Times New Roman" w:cs="Times New Roman"/>
          <w:sz w:val="20"/>
          <w:szCs w:val="20"/>
        </w:rPr>
        <w:t>. a: chromosome 2 of cucumber; 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SSR linkage of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hint="eastAsia" w:ascii="Times New Roman" w:hAnsi="Times New Roman" w:cs="Times New Roman"/>
          <w:sz w:val="20"/>
          <w:szCs w:val="20"/>
        </w:rPr>
        <w:t>numerous spines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gene for preliminary mapping; </w:t>
      </w:r>
      <w:r>
        <w:rPr>
          <w:rFonts w:hint="eastAsia" w:ascii="Times New Roman" w:hAnsi="Times New Roman" w:cs="Times New Roman"/>
          <w:sz w:val="20"/>
          <w:szCs w:val="20"/>
        </w:rPr>
        <w:t>c: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inkage of </w:t>
      </w:r>
      <w:r>
        <w:rPr>
          <w:rFonts w:ascii="Times New Roman" w:hAnsi="Times New Roman" w:cs="Times New Roman"/>
          <w:sz w:val="20"/>
          <w:szCs w:val="20"/>
        </w:rPr>
        <w:t xml:space="preserve">molecular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markers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hint="eastAsia" w:ascii="Times New Roman" w:hAnsi="Times New Roman" w:cs="Times New Roman"/>
          <w:i/>
          <w:sz w:val="20"/>
          <w:szCs w:val="20"/>
        </w:rPr>
        <w:t>ns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gene for second mapping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hint="eastAsia" w:ascii="Times New Roman" w:hAnsi="Times New Roman" w:cs="Times New Roman"/>
          <w:sz w:val="20"/>
          <w:szCs w:val="20"/>
        </w:rPr>
        <w:t>d: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hysical map of partial </w:t>
      </w:r>
      <w:r>
        <w:rPr>
          <w:rFonts w:ascii="Times New Roman" w:hAnsi="Times New Roman" w:cs="Times New Roman"/>
          <w:sz w:val="20"/>
          <w:szCs w:val="20"/>
        </w:rPr>
        <w:t>molecular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markers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sz w:val="20"/>
          <w:szCs w:val="20"/>
        </w:rPr>
        <w:t>redicted genes among the flanking markers.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(The number on the bars shows number of recomb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eastAsia="Times New Roman" w:cs="Times New Roman"/>
          <w:sz w:val="20"/>
          <w:szCs w:val="20"/>
        </w:rPr>
        <w:t>ant plants</w:t>
      </w:r>
      <w:r>
        <w:rPr>
          <w:rFonts w:ascii="Times New Roman" w:hAnsi="Times New Roman" w:cs="Times New Roman"/>
          <w:sz w:val="20"/>
          <w:szCs w:val="20"/>
        </w:rPr>
        <w:t xml:space="preserve"> between </w:t>
      </w:r>
      <w:r>
        <w:rPr>
          <w:rFonts w:hint="eastAsia" w:ascii="Times New Roman" w:hAnsi="Times New Roman" w:cs="Times New Roman"/>
          <w:i/>
          <w:sz w:val="20"/>
          <w:szCs w:val="20"/>
        </w:rPr>
        <w:t>ns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flanking markers</w:t>
      </w:r>
      <w:r>
        <w:rPr>
          <w:rFonts w:ascii="Times New Roman" w:hAnsi="Times New Roman" w:eastAsia="Times New Roman" w:cs="Times New Roman"/>
          <w:sz w:val="20"/>
          <w:szCs w:val="20"/>
        </w:rPr>
        <w:t>.)</w:t>
      </w:r>
    </w:p>
    <w:p>
      <w:pPr>
        <w:widowControl/>
        <w:spacing w:line="480" w:lineRule="auto"/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</w:p>
    <w:tbl>
      <w:tblPr>
        <w:tblStyle w:val="8"/>
        <w:tblW w:w="88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885"/>
        <w:gridCol w:w="2782"/>
        <w:gridCol w:w="1158"/>
        <w:gridCol w:w="1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Primer name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Forward primer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Reverse primer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Motif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Fragment size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SSR04869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CCAACACCACCCTTCGTTTA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CGGAACCGTTCGTCTTCTT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(TC)27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SSR22338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GGTGGATGAAGAGGGGAAAT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TACTCCTTCCTTCGCCCTTT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(AGA)16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SSRns-10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TGAATGCATCTCTGTTGTGGA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GGCCATCCTCAAGTTCTCAA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(TCAC)5(CT)10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SSRns-36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TGATCACTTGCTTGGTGTTACC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GGCGTTTAGGCCCATAATTT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(AT)10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Indelns-4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AGAAAAGACGTTTGTTGGAG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ACCCTTATCGAGTCTTCAAA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Insertion (ACATG)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223/228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SSRns-40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GCCATATTAAGAAAAACCAATTCAC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GCTCTGCTTGATTTCTTCTGC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(AAG)9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SSRns-59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AAGCAAAATGGGAATCCAAG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CCCTCCCTCCTTTGCTTAAT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(AAAG)5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SSR11596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TCACATAGGCTTGCTCCAAA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TCAAACACCGCGAAAGAGAT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(TA)18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Indelns-16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ATGACAAATGATCTGGTGGT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CAATATCCCGTTGTTGTCTT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Deletion (TTTCA)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228/223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SSR07108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TAAGCAATTCCAGGAGAGGG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GTTCTTTGATGGGTGCCTGT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(GA)19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SSRns-82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AGATCCTAAAAGGGGATCTTGA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TCCAGAGGTTTTTCCTTTTCTC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(TA)9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SSRns-123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CGAAGGTGAAGGCAAAGAAG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TTTAGGGTTTCCAGCCGATA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(AC)9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SSRns-127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AGTGACAAAAAGACTAACTCAACAAA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TTGGGTATATAGATTGTCACTACTCCT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(TTA)7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SSR04219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GAGACATTGTGGGCATTTGA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CTCATTTTCATCCAAAGGGC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(AT)17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SSR10518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TCTAATTCGCTCCGGATGAT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TTGCAGCGAACAATCCTGTA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(ATTA)5(A)30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SSR15172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GGTGTGGGTTATTTTGGCAC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GAAGAAATCAAAGAGGGGGC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(CTCTTT)7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SSR13818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TTGTTAGTTCATTTGAGGTGTCAAG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TCCATATTAACTCTCTCAGGCTAACA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(TA)32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189</w:t>
            </w:r>
          </w:p>
        </w:tc>
      </w:tr>
    </w:tbl>
    <w:p>
      <w:pPr>
        <w:rPr>
          <w:rFonts w:hint="eastAsia" w:ascii="Times New Roman" w:hAnsi="Times New Roman" w:cs="Times New Roman"/>
          <w:sz w:val="20"/>
          <w:szCs w:val="20"/>
        </w:rPr>
      </w:pPr>
    </w:p>
    <w:p>
      <w:pPr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>
      <w:pPr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000000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</w:p>
    <w:tbl>
      <w:tblPr>
        <w:tblStyle w:val="8"/>
        <w:tblW w:w="92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260"/>
        <w:gridCol w:w="1077"/>
        <w:gridCol w:w="935"/>
        <w:gridCol w:w="1020"/>
        <w:gridCol w:w="656"/>
        <w:gridCol w:w="941"/>
        <w:gridCol w:w="1103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Material code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ruit spines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Phenotype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SSRns-127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Material code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Phenotype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SSRns-127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Material code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Phenotype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SSRns-127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Coolgreen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-19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-40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NCG127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-49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few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-60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numerous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</w:tbl>
    <w:p>
      <w:pPr>
        <w:rPr>
          <w:rFonts w:ascii="Times New Roman" w:hAnsi="Times New Roman" w:eastAsia="黑体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OLE_LINK6"/>
      <w:bookmarkStart w:id="1" w:name="OLE_LINK5"/>
      <w:r>
        <w:rPr>
          <w:rFonts w:ascii="Times New Roman" w:hAnsi="Times New Roman" w:eastAsia="黑体" w:cs="Times New Roman"/>
          <w:b/>
          <w:sz w:val="20"/>
          <w:szCs w:val="20"/>
        </w:rPr>
        <w:t xml:space="preserve"> </w:t>
      </w:r>
      <w:bookmarkEnd w:id="0"/>
      <w:bookmarkEnd w:id="1"/>
    </w:p>
    <w:p>
      <w:pPr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kern w:val="0"/>
          <w:sz w:val="20"/>
          <w:szCs w:val="20"/>
        </w:rPr>
        <w:t xml:space="preserve">Table </w:t>
      </w:r>
      <w:r>
        <w:rPr>
          <w:rFonts w:hint="eastAsia" w:ascii="Times New Roman" w:hAnsi="Times New Roman" w:cs="Times New Roman"/>
          <w:b/>
          <w:kern w:val="0"/>
          <w:sz w:val="20"/>
          <w:szCs w:val="20"/>
        </w:rPr>
        <w:t>3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tbl>
      <w:tblPr>
        <w:tblStyle w:val="8"/>
        <w:tblW w:w="8640" w:type="dxa"/>
        <w:tblInd w:w="0" w:type="dxa"/>
        <w:tblBorders>
          <w:top w:val="single" w:color="000000" w:sz="6" w:space="0"/>
          <w:left w:val="none" w:color="auto" w:sz="0" w:space="0"/>
          <w:bottom w:val="single" w:color="auto" w:sz="4" w:space="0"/>
          <w:right w:val="none" w:color="auto" w:sz="0" w:space="0"/>
          <w:insideH w:val="single" w:color="000000" w:sz="6" w:space="0"/>
          <w:insideV w:val="none" w:color="auto" w:sz="0" w:space="0"/>
        </w:tblBorders>
        <w:tblLayout w:type="fixed"/>
        <w:tblCellMar>
          <w:top w:w="17" w:type="dxa"/>
          <w:left w:w="0" w:type="dxa"/>
          <w:bottom w:w="0" w:type="dxa"/>
          <w:right w:w="115" w:type="dxa"/>
        </w:tblCellMar>
      </w:tblPr>
      <w:tblGrid>
        <w:gridCol w:w="1317"/>
        <w:gridCol w:w="2643"/>
        <w:gridCol w:w="1440"/>
        <w:gridCol w:w="3240"/>
      </w:tblGrid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455" w:hRule="atLeast"/>
        </w:trPr>
        <w:tc>
          <w:tcPr>
            <w:tcW w:w="1317" w:type="dxa"/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Predicted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gene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vAlign w:val="top"/>
          </w:tcPr>
          <w:p>
            <w:pPr>
              <w:ind w:left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Function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40" w:type="dxa"/>
            <w:vAlign w:val="top"/>
          </w:tcPr>
          <w:p>
            <w:pPr>
              <w:ind w:left="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Predicted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gene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40" w:type="dxa"/>
            <w:vAlign w:val="top"/>
          </w:tcPr>
          <w:p>
            <w:pPr>
              <w:ind w:left="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Function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Csa2G285330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Glycoside hydrolase family 43;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Glycosyl hydrolase family 43 five-bladed beta-propellor domain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Csa2G286490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Protein kinase catalytic domain; </w:t>
            </w:r>
          </w:p>
          <w:p>
            <w:pPr>
              <w:jc w:val="left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Serine/threonine-protein kinase domain;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kinase ATP binding site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Csa2G285340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Transcription factor GRAS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Csa2G286500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Zinc finger LIM-type;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Ubiquitin interacting motif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Csa2G285350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Ribosomal protein L26/L24P eukaryotic/archaeal; </w:t>
            </w:r>
          </w:p>
          <w:p>
            <w:pPr>
              <w:jc w:val="left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KOW;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Translation protein SH3-like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Csa2G286510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Protein kinase catalytic domain;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Serine-threonine/tyrosine-protein kinase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Csa2G285360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Porin eukaryotic type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Csa2G286520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Pentatricopeptide repeat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Csa2G285390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WD40 repeat; WD40 repeat-like-containing domain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Csa2G286530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Pentatricopeptide repeat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Csa2G285890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nl-NL"/>
              </w:rPr>
              <w:t>Helix-loop-helix DNA-binding domain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Csa2G287040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Ankyrin repeat;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Ankyrin repeat-containing domain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Csa2G285900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Lipase class 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Csa2G287050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val="it-IT"/>
              </w:rPr>
              <w:t>Proteinase inhibitor I13 potato inhibitor I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Csa2G285910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RNA recognition motif domain;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Nucleotide-binding alpha-beta plait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Csa2G287060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mRNA splicing factor thioredoxin-like U5 snRNP;</w:t>
            </w:r>
          </w:p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Thioredoxin fold;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Thioredoxin-like fold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Csa2G285920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Peptidase M24 structural domain;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Peptidase M24A methionine aminopeptidase subfamily 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Csa2G287080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Allergen V5/Tpx-1-related;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CAP domain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Csa2G285930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Transcriptional factor B3;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Restriction endonuclease type II EcoRII N-terminal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Csa2G287090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Domain of unknown function DUF547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Csa2G286440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Calcium-binding EF-hand;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EF-hand-like domain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Csa2G287110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POX;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Homeodomain-like;Homeodomain-related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Csa2G286450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Calcium-binding EF-hand;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EF-hand-like domain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Csa2G287130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Zinc finger C2H2-type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Csa2G286470</w:t>
            </w:r>
          </w:p>
        </w:tc>
        <w:tc>
          <w:tcPr>
            <w:tcW w:w="2643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Pentatricopeptide repeat;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Tetratricopeptide-like helical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Csa2G287160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Transcriptional factor B3;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Restriction endonuclease type II EcoRII N-terminal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17" w:type="dxa"/>
            <w:left w:w="0" w:type="dxa"/>
            <w:bottom w:w="0" w:type="dxa"/>
            <w:right w:w="115" w:type="dxa"/>
          </w:tblCellMar>
        </w:tblPrEx>
        <w:trPr>
          <w:trHeight w:val="345" w:hRule="atLeast"/>
        </w:trPr>
        <w:tc>
          <w:tcPr>
            <w:tcW w:w="1317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Csa2G286480</w:t>
            </w:r>
          </w:p>
        </w:tc>
        <w:tc>
          <w:tcPr>
            <w:tcW w:w="264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Multicopper oxidase type 1;</w:t>
            </w:r>
          </w:p>
          <w:p>
            <w:pP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Multicopper oxidase type 2;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Multicopper oxidase type 3</w:t>
            </w: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20"/>
          <w:szCs w:val="20"/>
        </w:rPr>
      </w:pPr>
    </w:p>
    <w:p>
      <w:pPr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>
      <w:pPr>
        <w:rPr>
          <w:rFonts w:hint="eastAsia"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drawing>
          <wp:inline distT="0" distB="0" distL="114300" distR="114300">
            <wp:extent cx="5266690" cy="2422525"/>
            <wp:effectExtent l="0" t="0" r="10160" b="15875"/>
            <wp:docPr id="1" name="图片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Times New Roman" w:hAnsi="Times New Roman" w:eastAsia="黑体" w:cs="Times New Roman"/>
          <w:sz w:val="18"/>
          <w:szCs w:val="18"/>
        </w:rPr>
      </w:pPr>
      <w:r>
        <w:rPr>
          <w:rFonts w:ascii="Times New Roman" w:hAnsi="Times New Roman" w:eastAsia="黑体" w:cs="Times New Roman"/>
          <w:b/>
          <w:sz w:val="18"/>
          <w:szCs w:val="18"/>
        </w:rPr>
        <w:t>Fig</w:t>
      </w:r>
      <w:r>
        <w:rPr>
          <w:rFonts w:hint="eastAsia" w:ascii="Times New Roman" w:hAnsi="Times New Roman" w:eastAsia="黑体" w:cs="Times New Roman"/>
          <w:b/>
          <w:sz w:val="18"/>
          <w:szCs w:val="18"/>
        </w:rPr>
        <w:t>ure</w:t>
      </w:r>
      <w:r>
        <w:rPr>
          <w:rFonts w:ascii="Times New Roman" w:hAnsi="Times New Roman" w:eastAsia="黑体" w:cs="Times New Roman"/>
          <w:b/>
          <w:sz w:val="18"/>
          <w:szCs w:val="18"/>
        </w:rPr>
        <w:t>1</w:t>
      </w:r>
      <w:r>
        <w:rPr>
          <w:rFonts w:hint="eastAsia" w:ascii="Times New Roman" w:hAnsi="Times New Roman" w:eastAsia="黑体" w:cs="Times New Roman"/>
          <w:b/>
          <w:sz w:val="18"/>
          <w:szCs w:val="18"/>
        </w:rPr>
        <w:t>.</w:t>
      </w:r>
      <w:r>
        <w:rPr>
          <w:rFonts w:ascii="Times New Roman" w:hAnsi="Times New Roman" w:eastAsia="黑体" w:cs="Times New Roman"/>
          <w:sz w:val="18"/>
          <w:szCs w:val="18"/>
        </w:rPr>
        <w:t xml:space="preserve"> </w:t>
      </w:r>
    </w:p>
    <w:p>
      <w:pPr>
        <w:rPr>
          <w:rFonts w:hint="eastAsia" w:ascii="Times New Roman" w:hAnsi="Times New Roman" w:cs="Times New Roman"/>
          <w:sz w:val="20"/>
          <w:szCs w:val="20"/>
        </w:rPr>
      </w:pPr>
    </w:p>
    <w:p>
      <w:pPr>
        <w:rPr>
          <w:rFonts w:hint="eastAsia" w:ascii="Times New Roman" w:hAnsi="Times New Roman" w:cs="Times New Roman"/>
          <w:sz w:val="20"/>
          <w:szCs w:val="20"/>
        </w:rPr>
      </w:pPr>
    </w:p>
    <w:p>
      <w:pPr>
        <w:rPr>
          <w:rFonts w:hint="eastAsia" w:ascii="Times New Roman" w:hAnsi="Times New Roman" w:cs="Times New Roman"/>
          <w:sz w:val="20"/>
          <w:szCs w:val="20"/>
        </w:rPr>
      </w:pPr>
    </w:p>
    <w:p>
      <w:pPr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>
      <w:pPr>
        <w:rPr>
          <w:rFonts w:hint="eastAsia"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drawing>
          <wp:inline distT="0" distB="0" distL="114300" distR="114300">
            <wp:extent cx="5266690" cy="2306955"/>
            <wp:effectExtent l="0" t="0" r="10160" b="17145"/>
            <wp:docPr id="2" name="图片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line="48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</w:rPr>
        <w:t>Fig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ure </w:t>
      </w:r>
      <w:r>
        <w:rPr>
          <w:rFonts w:ascii="Times New Roman" w:hAnsi="Times New Roman" w:eastAsia="Times New Roman" w:cs="Times New Roman"/>
          <w:b/>
          <w:sz w:val="18"/>
          <w:szCs w:val="18"/>
        </w:rPr>
        <w:t>2</w:t>
      </w:r>
      <w:r>
        <w:rPr>
          <w:rFonts w:hint="eastAsia"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/>
    </w:p>
    <w:sectPr>
      <w:footerReference r:id="rId3" w:type="default"/>
      <w:footerReference r:id="rId4" w:type="even"/>
      <w:footnotePr>
        <w:numFmt w:val="decimal"/>
      </w:footnotePr>
      <w:pgSz w:w="11906" w:h="16838"/>
      <w:pgMar w:top="1440" w:right="1797" w:bottom="1440" w:left="1797" w:header="851" w:footer="992" w:gutter="0"/>
      <w:lnNumType w:countBy="0" w:restart="continuous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Mincho">
    <w:panose1 w:val="02020609040205080304"/>
    <w:charset w:val="80"/>
    <w:family w:val="decorative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Gothic">
    <w:panose1 w:val="020B0609070205080204"/>
    <w:charset w:val="80"/>
    <w:family w:val="decorative"/>
    <w:pitch w:val="default"/>
    <w:sig w:usb0="A00002BF" w:usb1="68C7FCFB" w:usb2="00000010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dvNPSTim-B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zh-CN" w:eastAsia="zh-CN"/>
      </w:rPr>
      <w:t>8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C6229"/>
    <w:rsid w:val="2A9128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 w:eastAsia="仿宋_GB2312" w:cs="Times New Roman"/>
      <w:kern w:val="0"/>
      <w:sz w:val="24"/>
      <w:szCs w:val="20"/>
      <w:lang w:eastAsia="en-US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17"/>
    <w:basedOn w:val="1"/>
    <w:link w:val="4"/>
    <w:qFormat/>
    <w:uiPriority w:val="0"/>
    <w:pPr>
      <w:widowControl/>
      <w:spacing w:after="160" w:line="480" w:lineRule="auto"/>
      <w:jc w:val="left"/>
    </w:pPr>
    <w:rPr>
      <w:rFonts w:ascii="Times New Roman" w:hAnsi="Times New Roman" w:eastAsia="仿宋_GB2312" w:cs="Times New Roman"/>
      <w:kern w:val="0"/>
      <w:sz w:val="24"/>
      <w:szCs w:val="20"/>
      <w:lang w:eastAsia="en-US"/>
    </w:rPr>
  </w:style>
  <w:style w:type="character" w:styleId="6">
    <w:name w:val="page number"/>
    <w:basedOn w:val="4"/>
    <w:qFormat/>
    <w:uiPriority w:val="0"/>
  </w:style>
  <w:style w:type="character" w:styleId="7">
    <w:name w:val="annotation reference"/>
    <w:uiPriority w:val="0"/>
    <w:rPr>
      <w:rFonts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2016-04-30T03:38:55Z</dcterms:modified>
  <dc:title>Table 1 Sequence of SSR and Indel primers for the genetic linkage map of the numerous spines gene in cucumber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