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 xml:space="preserve">Supplementary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The Newcastle-Ottawa Scale scores for all the included studies</w:t>
      </w:r>
    </w:p>
    <w:tbl>
      <w:tblPr>
        <w:tblStyle w:val="2"/>
        <w:tblW w:w="1445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1056"/>
        <w:gridCol w:w="1653"/>
        <w:gridCol w:w="1068"/>
        <w:gridCol w:w="1066"/>
        <w:gridCol w:w="1477"/>
        <w:gridCol w:w="1354"/>
        <w:gridCol w:w="1616"/>
        <w:gridCol w:w="1386"/>
        <w:gridCol w:w="8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978" w:type="dxa"/>
            <w:vMerge w:val="restart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Articles</w:t>
            </w:r>
          </w:p>
        </w:tc>
        <w:tc>
          <w:tcPr>
            <w:tcW w:w="4843" w:type="dxa"/>
            <w:gridSpan w:val="4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Selection</w:t>
            </w:r>
          </w:p>
        </w:tc>
        <w:tc>
          <w:tcPr>
            <w:tcW w:w="1477" w:type="dxa"/>
            <w:vMerge w:val="restart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Comparability</w:t>
            </w:r>
          </w:p>
        </w:tc>
        <w:tc>
          <w:tcPr>
            <w:tcW w:w="4356" w:type="dxa"/>
            <w:gridSpan w:val="3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Exposure</w:t>
            </w:r>
          </w:p>
        </w:tc>
        <w:tc>
          <w:tcPr>
            <w:tcW w:w="803" w:type="dxa"/>
            <w:vMerge w:val="restart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NOS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Scores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297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 the case definition adequate?</w:t>
            </w:r>
          </w:p>
        </w:tc>
        <w:tc>
          <w:tcPr>
            <w:tcW w:w="165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Representativeness of the cases</w:t>
            </w:r>
          </w:p>
        </w:tc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Selection of Controls</w:t>
            </w: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Definition of Controls</w:t>
            </w:r>
          </w:p>
        </w:tc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4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Ascertainment of exposure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Same method of ascertainment for cases and controls</w:t>
            </w: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Non-Response rate</w:t>
            </w:r>
          </w:p>
        </w:tc>
        <w:tc>
          <w:tcPr>
            <w:tcW w:w="80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978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Chao-Yuan Huang 2018</w:t>
            </w:r>
          </w:p>
        </w:tc>
        <w:tc>
          <w:tcPr>
            <w:tcW w:w="105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5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068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06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477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354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1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803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9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Corina Lesseur 2012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9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Jennifer L Beebe-Dimmer 2012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3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9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Rosemarie de la Rosa 2017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3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97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Ying-Chin Lin 2018</w:t>
            </w:r>
          </w:p>
        </w:tc>
        <w:tc>
          <w:tcPr>
            <w:tcW w:w="10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4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6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13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8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Times New Roman"/>
          <w:i w:val="0"/>
          <w:color w:val="000000"/>
          <w:kern w:val="0"/>
          <w:sz w:val="24"/>
          <w:szCs w:val="24"/>
          <w:u w:val="none"/>
          <w:vertAlign w:val="superscript"/>
          <w:lang w:val="en-US" w:eastAsia="zh-CN" w:bidi="ar"/>
        </w:rPr>
        <w:t>a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NOS</w:t>
      </w:r>
      <w:r>
        <w:rPr>
          <w:rFonts w:hint="eastAsia" w:ascii="Times New Roman" w:hAnsi="Times New Roman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Newcastle-Ottawa Scale.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D3FD0"/>
    <w:rsid w:val="028D3FD0"/>
    <w:rsid w:val="077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2020-01-14T13:27:00Z</dcterms:created>
  <dc:creator>宋宇轩</dc:creator>
  <cp:lastModifiedBy>宋宇轩</cp:lastModifiedBy>
  <dcterms:modified xsi:type="dcterms:W3CDTF">2020-01-14T13:37:44Z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