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874466" w14:textId="1F650897" w:rsidR="005B51B1" w:rsidRPr="00FF4109" w:rsidRDefault="005B51B1" w:rsidP="00FF4109">
      <w:pPr>
        <w:rPr>
          <w:sz w:val="28"/>
          <w:szCs w:val="28"/>
        </w:rPr>
      </w:pPr>
      <w:r w:rsidRPr="00D152A2">
        <w:rPr>
          <w:sz w:val="28"/>
          <w:szCs w:val="28"/>
        </w:rPr>
        <w:t>Appendix S1: Supplementary materials</w:t>
      </w:r>
      <w:bookmarkStart w:id="0" w:name="Tables"/>
      <w:bookmarkStart w:id="1" w:name="MaterialsMethods"/>
      <w:bookmarkEnd w:id="0"/>
      <w:bookmarkEnd w:id="1"/>
      <w:r>
        <w:br/>
      </w:r>
    </w:p>
    <w:p w14:paraId="0457EDC0" w14:textId="77777777" w:rsidR="005B51B1" w:rsidRPr="008D2318" w:rsidRDefault="005B51B1" w:rsidP="005B51B1">
      <w:pPr>
        <w:spacing w:line="360" w:lineRule="auto"/>
        <w:rPr>
          <w:szCs w:val="24"/>
          <w:u w:val="single"/>
        </w:rPr>
      </w:pPr>
      <w:r w:rsidRPr="008D2318">
        <w:rPr>
          <w:szCs w:val="24"/>
          <w:u w:val="single"/>
        </w:rPr>
        <w:t>Data collection</w:t>
      </w:r>
    </w:p>
    <w:p w14:paraId="3C48996B" w14:textId="24C1EAF0" w:rsidR="005B51B1" w:rsidRDefault="005B51B1" w:rsidP="005B51B1">
      <w:pPr>
        <w:spacing w:line="360" w:lineRule="auto"/>
        <w:ind w:firstLine="720"/>
        <w:rPr>
          <w:szCs w:val="24"/>
        </w:rPr>
      </w:pPr>
      <w:r w:rsidRPr="00517E3A">
        <w:rPr>
          <w:szCs w:val="24"/>
        </w:rPr>
        <w:t xml:space="preserve">Endocranial volume (ECV) data </w:t>
      </w:r>
      <w:r w:rsidR="00B4082C" w:rsidRPr="00517E3A">
        <w:rPr>
          <w:szCs w:val="24"/>
        </w:rPr>
        <w:t xml:space="preserve">were </w:t>
      </w:r>
      <w:r w:rsidR="00B4082C">
        <w:rPr>
          <w:szCs w:val="24"/>
        </w:rPr>
        <w:t xml:space="preserve">taken </w:t>
      </w:r>
      <w:r w:rsidR="00B4082C" w:rsidRPr="00517E3A">
        <w:rPr>
          <w:szCs w:val="24"/>
        </w:rPr>
        <w:t xml:space="preserve">from the </w:t>
      </w:r>
      <w:r w:rsidR="00B4082C">
        <w:rPr>
          <w:szCs w:val="24"/>
        </w:rPr>
        <w:t xml:space="preserve">literature </w:t>
      </w:r>
      <w:r w:rsidRPr="00517E3A">
        <w:rPr>
          <w:szCs w:val="24"/>
        </w:rPr>
        <w:t xml:space="preserve">for </w:t>
      </w:r>
      <w:r w:rsidR="002B4551">
        <w:rPr>
          <w:szCs w:val="24"/>
        </w:rPr>
        <w:t xml:space="preserve">hominin </w:t>
      </w:r>
      <w:r w:rsidRPr="00517E3A">
        <w:rPr>
          <w:szCs w:val="24"/>
        </w:rPr>
        <w:t xml:space="preserve">taxa </w:t>
      </w:r>
      <w:r w:rsidR="002B4551">
        <w:rPr>
          <w:szCs w:val="24"/>
        </w:rPr>
        <w:t xml:space="preserve">starting from </w:t>
      </w:r>
      <w:r w:rsidR="002B4551" w:rsidRPr="00301301">
        <w:rPr>
          <w:i/>
          <w:szCs w:val="24"/>
        </w:rPr>
        <w:t>Australopithecus</w:t>
      </w:r>
      <w:r>
        <w:rPr>
          <w:szCs w:val="24"/>
        </w:rPr>
        <w:t xml:space="preserve"> </w:t>
      </w:r>
      <w:r w:rsidR="002B4551">
        <w:rPr>
          <w:szCs w:val="24"/>
        </w:rPr>
        <w:t xml:space="preserve">to </w:t>
      </w:r>
      <w:r w:rsidR="00B4082C">
        <w:rPr>
          <w:szCs w:val="24"/>
        </w:rPr>
        <w:t>those specimens whose age ranges overlap with 0.5 Ma</w:t>
      </w:r>
      <w:r w:rsidR="002B4551">
        <w:rPr>
          <w:szCs w:val="24"/>
        </w:rPr>
        <w:t xml:space="preserve"> </w:t>
      </w:r>
      <w:r>
        <w:rPr>
          <w:szCs w:val="24"/>
        </w:rPr>
        <w:t>(t</w:t>
      </w:r>
      <w:r w:rsidRPr="00517E3A">
        <w:rPr>
          <w:szCs w:val="24"/>
        </w:rPr>
        <w:t>able S</w:t>
      </w:r>
      <w:r w:rsidR="00AA178B">
        <w:rPr>
          <w:szCs w:val="24"/>
        </w:rPr>
        <w:t>1</w:t>
      </w:r>
      <w:r w:rsidRPr="00517E3A">
        <w:rPr>
          <w:szCs w:val="24"/>
        </w:rPr>
        <w:t>). We used</w:t>
      </w:r>
      <w:r>
        <w:rPr>
          <w:szCs w:val="24"/>
        </w:rPr>
        <w:t xml:space="preserve"> primarily</w:t>
      </w:r>
      <w:r w:rsidRPr="00517E3A">
        <w:rPr>
          <w:szCs w:val="24"/>
        </w:rPr>
        <w:t xml:space="preserve"> measurements from sources where </w:t>
      </w:r>
      <w:r>
        <w:rPr>
          <w:szCs w:val="24"/>
        </w:rPr>
        <w:t>it was directly stated or we could only conclude that</w:t>
      </w:r>
      <w:r w:rsidRPr="00517E3A">
        <w:rPr>
          <w:szCs w:val="24"/>
        </w:rPr>
        <w:t xml:space="preserve"> </w:t>
      </w:r>
      <w:r>
        <w:rPr>
          <w:szCs w:val="24"/>
        </w:rPr>
        <w:t xml:space="preserve">the cranial </w:t>
      </w:r>
      <w:r w:rsidRPr="00517E3A">
        <w:rPr>
          <w:szCs w:val="24"/>
        </w:rPr>
        <w:t xml:space="preserve">specimens </w:t>
      </w:r>
      <w:r>
        <w:rPr>
          <w:szCs w:val="24"/>
        </w:rPr>
        <w:t>were</w:t>
      </w:r>
      <w:r w:rsidRPr="00517E3A">
        <w:rPr>
          <w:szCs w:val="24"/>
        </w:rPr>
        <w:t xml:space="preserve"> measured directly by the author(s). Estimates from secondary sources were excluded unless they represented compilations of measurements that were originally taken by the authors</w:t>
      </w:r>
      <w:r>
        <w:rPr>
          <w:szCs w:val="24"/>
        </w:rPr>
        <w:t xml:space="preserve"> </w:t>
      </w:r>
      <w:r w:rsidRPr="00517E3A">
        <w:rPr>
          <w:szCs w:val="24"/>
        </w:rPr>
        <w:fldChar w:fldCharType="begin"/>
      </w:r>
      <w:r w:rsidR="00006B9A">
        <w:rPr>
          <w:szCs w:val="24"/>
        </w:rPr>
        <w:instrText xml:space="preserve"> ADDIN ZOTERO_ITEM CSL_CITATION {"citationID":"iJcCrvE6","properties":{"formattedCitation":"[1,2]","plainCitation":"[1,2]"},"citationItems":[{"id":270,"uris":["http://zotero.org/users/2478888/items/8GBAMDTD"],"uri":["http://zotero.org/users/2478888/items/8GBAMDTD"],"itemData":{"id":270,"type":"book","title":"The Brain in Hominid Evolution","collection-title":"James Arthur lecture on the evolution of the human brain","collection-number":"1969","publisher":"Columbia University Press","publisher-place":"New York","number-of-pages":"170","source":"Library of Congress ISBN","event-place":"New York","ISBN":"0-231-03518-7","call-number":"QH368 .T6","author":[{"family":"Tobias","given":"Phillip V."}],"issued":{"date-parts":[["1971"]]}}},{"id":492,"uris":["http://zotero.org/users/2478888/items/D4PTZ3F6"],"uri":["http://zotero.org/users/2478888/items/D4PTZ3F6"],"itemData":{"id":492,"type":"book","title":"The Human Fossil Record, Brain Endocasts: The Paleoneurological Evidence, Volume 3","publisher":"Wiley-Liss","publisher-place":"New York","number-of-pages":"315","edition":"Volume 3","source":"Amazon","event-place":"New York","abstract":"Brain Endocasts is the only comprehensive, single-volume work dealing exclusively and uniformly with fossil hominid brain endocasts. Never-before-published photographs come together with easily accessible, coherent descriptions to create a detailed reference on the paleoneurological evidence for human evolution. Each entry offers essential information related to the location, dating, associations, and morphology of a given endocast. The text also covers the latest methodologies and techniques available for studying endocasts. In addition, a concise summary shows how these fossil records contribute to our understanding of human evolution and behavior.","ISBN":"978-0-471-41823-8","shortTitle":"The Human Fossil Record, Brain Endocasts","language":"English","author":[{"family":"Holloway","given":"Ralph L."},{"family":"Broadfield","given":"Douglas C."},{"family":"Yuan","given":"Michael S."}],"collection-editor":[{"family":"Schwartz","given":"Jeffrey H."},{"family":"Tattersall","given":"Ian"}],"issued":{"date-parts":[["2004",5,20]]}}}],"schema":"https://github.com/citation-style-language/schema/raw/master/csl-citation.json"} </w:instrText>
      </w:r>
      <w:r w:rsidRPr="00517E3A">
        <w:rPr>
          <w:szCs w:val="24"/>
        </w:rPr>
        <w:fldChar w:fldCharType="separate"/>
      </w:r>
      <w:r w:rsidR="00006B9A" w:rsidRPr="00006B9A">
        <w:t>[1,2]</w:t>
      </w:r>
      <w:r w:rsidRPr="00517E3A">
        <w:rPr>
          <w:szCs w:val="24"/>
        </w:rPr>
        <w:fldChar w:fldCharType="end"/>
      </w:r>
      <w:r w:rsidRPr="00517E3A">
        <w:rPr>
          <w:szCs w:val="24"/>
        </w:rPr>
        <w:t>. If the same author published different ECV estimates for a given specimen, we included only the</w:t>
      </w:r>
      <w:r>
        <w:rPr>
          <w:szCs w:val="24"/>
        </w:rPr>
        <w:t>ir</w:t>
      </w:r>
      <w:r w:rsidRPr="00517E3A">
        <w:rPr>
          <w:szCs w:val="24"/>
        </w:rPr>
        <w:t xml:space="preserve"> most recent estimate. The application of these criteria resulted in a dataset of 19</w:t>
      </w:r>
      <w:r w:rsidR="00844957">
        <w:rPr>
          <w:szCs w:val="24"/>
        </w:rPr>
        <w:t>1</w:t>
      </w:r>
      <w:r w:rsidRPr="00517E3A">
        <w:rPr>
          <w:szCs w:val="24"/>
        </w:rPr>
        <w:t xml:space="preserve"> hominin ECV measurements taken from 9</w:t>
      </w:r>
      <w:r w:rsidR="00844957">
        <w:rPr>
          <w:szCs w:val="24"/>
        </w:rPr>
        <w:t>4</w:t>
      </w:r>
      <w:r w:rsidRPr="00517E3A">
        <w:rPr>
          <w:szCs w:val="24"/>
        </w:rPr>
        <w:t xml:space="preserve"> specimens (median: 2 me</w:t>
      </w:r>
      <w:r>
        <w:rPr>
          <w:szCs w:val="24"/>
        </w:rPr>
        <w:t>asurements per specimen; fig. S3</w:t>
      </w:r>
      <w:r w:rsidRPr="00517E3A">
        <w:rPr>
          <w:szCs w:val="24"/>
        </w:rPr>
        <w:t xml:space="preserve">a) that </w:t>
      </w:r>
      <w:r>
        <w:rPr>
          <w:szCs w:val="24"/>
        </w:rPr>
        <w:t>have been attributed to</w:t>
      </w:r>
      <w:r w:rsidRPr="00517E3A">
        <w:rPr>
          <w:szCs w:val="24"/>
        </w:rPr>
        <w:t xml:space="preserve"> 13 </w:t>
      </w:r>
      <w:r>
        <w:rPr>
          <w:szCs w:val="24"/>
        </w:rPr>
        <w:t xml:space="preserve">different </w:t>
      </w:r>
      <w:r w:rsidRPr="00517E3A">
        <w:rPr>
          <w:szCs w:val="24"/>
        </w:rPr>
        <w:t xml:space="preserve">species (using the </w:t>
      </w:r>
      <w:r>
        <w:rPr>
          <w:szCs w:val="24"/>
        </w:rPr>
        <w:t>more speciose taxonomy) (t</w:t>
      </w:r>
      <w:r w:rsidRPr="00517E3A">
        <w:rPr>
          <w:szCs w:val="24"/>
        </w:rPr>
        <w:t>able S</w:t>
      </w:r>
      <w:r w:rsidR="0067462E">
        <w:rPr>
          <w:szCs w:val="24"/>
        </w:rPr>
        <w:t>1</w:t>
      </w:r>
      <w:r w:rsidRPr="00517E3A">
        <w:rPr>
          <w:szCs w:val="24"/>
        </w:rPr>
        <w:t>). ECV measurements were log</w:t>
      </w:r>
      <w:r w:rsidRPr="00517E3A">
        <w:rPr>
          <w:szCs w:val="24"/>
          <w:vertAlign w:val="subscript"/>
        </w:rPr>
        <w:t>10</w:t>
      </w:r>
      <w:r w:rsidRPr="00517E3A">
        <w:rPr>
          <w:szCs w:val="24"/>
        </w:rPr>
        <w:t xml:space="preserve"> transformed prior to all analyses because we were interested in proportional differences (e.g., a doubling from 400 to 800 cm</w:t>
      </w:r>
      <w:r w:rsidRPr="00517E3A">
        <w:rPr>
          <w:szCs w:val="24"/>
          <w:vertAlign w:val="superscript"/>
        </w:rPr>
        <w:t>3</w:t>
      </w:r>
      <w:r w:rsidRPr="00517E3A">
        <w:rPr>
          <w:szCs w:val="24"/>
        </w:rPr>
        <w:t xml:space="preserve"> was considered more meaningful than an equivalent 400 cm</w:t>
      </w:r>
      <w:r w:rsidRPr="00517E3A">
        <w:rPr>
          <w:szCs w:val="24"/>
          <w:vertAlign w:val="superscript"/>
        </w:rPr>
        <w:t>3</w:t>
      </w:r>
      <w:r w:rsidRPr="00517E3A">
        <w:rPr>
          <w:szCs w:val="24"/>
        </w:rPr>
        <w:t xml:space="preserve"> increase from 1000 to 1400 cm</w:t>
      </w:r>
      <w:r w:rsidRPr="00517E3A">
        <w:rPr>
          <w:szCs w:val="24"/>
          <w:vertAlign w:val="superscript"/>
        </w:rPr>
        <w:t>3</w:t>
      </w:r>
      <w:r w:rsidRPr="00517E3A">
        <w:rPr>
          <w:szCs w:val="24"/>
        </w:rPr>
        <w:t>).</w:t>
      </w:r>
    </w:p>
    <w:p w14:paraId="48328054" w14:textId="77777777" w:rsidR="005B51B1" w:rsidRDefault="005B51B1" w:rsidP="005B51B1">
      <w:pPr>
        <w:spacing w:line="360" w:lineRule="auto"/>
        <w:ind w:firstLine="720"/>
        <w:rPr>
          <w:szCs w:val="24"/>
        </w:rPr>
      </w:pPr>
      <w:r w:rsidRPr="00517E3A">
        <w:rPr>
          <w:szCs w:val="24"/>
        </w:rPr>
        <w:t>Age data for the fossil specimens included in this study were also collected from the primary literature</w:t>
      </w:r>
      <w:r>
        <w:rPr>
          <w:szCs w:val="24"/>
        </w:rPr>
        <w:t>. To be considered for this study, the published chronometric date had to satisfy these criteria:</w:t>
      </w:r>
    </w:p>
    <w:p w14:paraId="5471E3EA" w14:textId="35EBFA75" w:rsidR="005B51B1" w:rsidRPr="00B3434D" w:rsidRDefault="005B51B1" w:rsidP="005B51B1">
      <w:pPr>
        <w:pStyle w:val="ListParagraph"/>
        <w:numPr>
          <w:ilvl w:val="0"/>
          <w:numId w:val="11"/>
        </w:numPr>
        <w:spacing w:after="200" w:line="360" w:lineRule="auto"/>
        <w:contextualSpacing/>
        <w:rPr>
          <w:szCs w:val="24"/>
          <w:u w:val="single"/>
        </w:rPr>
      </w:pPr>
      <w:r w:rsidRPr="00B3434D">
        <w:rPr>
          <w:szCs w:val="24"/>
        </w:rPr>
        <w:t xml:space="preserve">The date was published in </w:t>
      </w:r>
      <w:r w:rsidR="002A4780">
        <w:rPr>
          <w:szCs w:val="24"/>
        </w:rPr>
        <w:t>a</w:t>
      </w:r>
      <w:r w:rsidRPr="00B3434D">
        <w:rPr>
          <w:szCs w:val="24"/>
        </w:rPr>
        <w:t xml:space="preserve"> primary source such as a peer-reviewed journal article, a peer-reviewed abstract, or an edited volume</w:t>
      </w:r>
      <w:r>
        <w:rPr>
          <w:szCs w:val="24"/>
        </w:rPr>
        <w:t xml:space="preserve">. </w:t>
      </w:r>
      <w:r w:rsidRPr="00B3434D">
        <w:rPr>
          <w:szCs w:val="24"/>
        </w:rPr>
        <w:t>A primary source as used here means that the listed authors include the individual(s) who actually de</w:t>
      </w:r>
      <w:r>
        <w:rPr>
          <w:szCs w:val="24"/>
        </w:rPr>
        <w:t xml:space="preserve">termined the chronometric age. </w:t>
      </w:r>
      <w:r w:rsidRPr="00B3434D">
        <w:rPr>
          <w:szCs w:val="24"/>
        </w:rPr>
        <w:t>Secondary sources were acceptable only if the authors were the same individuals who had originally determined the dates listed.</w:t>
      </w:r>
    </w:p>
    <w:p w14:paraId="30417A33" w14:textId="77777777" w:rsidR="005B51B1" w:rsidRPr="00B3434D" w:rsidRDefault="005B51B1" w:rsidP="005B51B1">
      <w:pPr>
        <w:pStyle w:val="ListParagraph"/>
        <w:numPr>
          <w:ilvl w:val="0"/>
          <w:numId w:val="11"/>
        </w:numPr>
        <w:spacing w:after="200" w:line="360" w:lineRule="auto"/>
        <w:contextualSpacing/>
        <w:rPr>
          <w:szCs w:val="24"/>
          <w:u w:val="single"/>
        </w:rPr>
      </w:pPr>
      <w:r w:rsidRPr="00B3434D">
        <w:rPr>
          <w:szCs w:val="24"/>
        </w:rPr>
        <w:t>The date was published in approximately the last 30 years</w:t>
      </w:r>
      <w:r>
        <w:rPr>
          <w:szCs w:val="24"/>
        </w:rPr>
        <w:t xml:space="preserve">. </w:t>
      </w:r>
      <w:r w:rsidRPr="00B3434D">
        <w:rPr>
          <w:szCs w:val="24"/>
        </w:rPr>
        <w:t>New dating techniques and improvements in existing methods generally render older dates obsolete</w:t>
      </w:r>
      <w:r>
        <w:rPr>
          <w:szCs w:val="24"/>
        </w:rPr>
        <w:t xml:space="preserve">. </w:t>
      </w:r>
      <w:r w:rsidRPr="00B3434D">
        <w:rPr>
          <w:szCs w:val="24"/>
        </w:rPr>
        <w:t>However, if no date from more recently than 30 years ago was available for a specimen, then the most recent date, regardless of when published, was used.</w:t>
      </w:r>
    </w:p>
    <w:p w14:paraId="5AF9C979" w14:textId="77777777" w:rsidR="005B51B1" w:rsidRPr="00B3434D" w:rsidRDefault="005B51B1" w:rsidP="005B51B1">
      <w:pPr>
        <w:pStyle w:val="ListParagraph"/>
        <w:numPr>
          <w:ilvl w:val="0"/>
          <w:numId w:val="11"/>
        </w:numPr>
        <w:spacing w:after="200" w:line="360" w:lineRule="auto"/>
        <w:contextualSpacing/>
        <w:rPr>
          <w:szCs w:val="24"/>
          <w:u w:val="single"/>
        </w:rPr>
      </w:pPr>
      <w:r w:rsidRPr="00B3434D">
        <w:rPr>
          <w:szCs w:val="24"/>
        </w:rPr>
        <w:t>Each date included in this study must not have been superseded by a more recently published date from the same author or authors</w:t>
      </w:r>
      <w:r>
        <w:rPr>
          <w:szCs w:val="24"/>
        </w:rPr>
        <w:t xml:space="preserve">. </w:t>
      </w:r>
      <w:r w:rsidRPr="00B3434D">
        <w:rPr>
          <w:szCs w:val="24"/>
        </w:rPr>
        <w:t xml:space="preserve">Superseding by the same author may be active or passive; for example, the publication of an explicit statement clarifying that a previously published chronology is no longer valid or the publication of a new date for </w:t>
      </w:r>
      <w:r w:rsidRPr="00B3434D">
        <w:rPr>
          <w:szCs w:val="24"/>
        </w:rPr>
        <w:lastRenderedPageBreak/>
        <w:t>the same specimen or geologic formation that differs from an older published date, respectively</w:t>
      </w:r>
      <w:r>
        <w:rPr>
          <w:szCs w:val="24"/>
        </w:rPr>
        <w:t xml:space="preserve">. </w:t>
      </w:r>
    </w:p>
    <w:p w14:paraId="3BB303B8" w14:textId="77777777" w:rsidR="005B51B1" w:rsidRPr="00F26AD1" w:rsidRDefault="005B51B1" w:rsidP="005B51B1">
      <w:pPr>
        <w:pStyle w:val="ListParagraph"/>
        <w:numPr>
          <w:ilvl w:val="0"/>
          <w:numId w:val="11"/>
        </w:numPr>
        <w:spacing w:after="200" w:line="360" w:lineRule="auto"/>
        <w:contextualSpacing/>
        <w:rPr>
          <w:szCs w:val="24"/>
          <w:u w:val="single"/>
        </w:rPr>
      </w:pPr>
      <w:r w:rsidRPr="00B3434D">
        <w:rPr>
          <w:szCs w:val="24"/>
        </w:rPr>
        <w:t xml:space="preserve">In the case of controversial chronologies for specimens or </w:t>
      </w:r>
      <w:r>
        <w:rPr>
          <w:szCs w:val="24"/>
        </w:rPr>
        <w:t>geologic</w:t>
      </w:r>
      <w:r w:rsidRPr="00B3434D">
        <w:rPr>
          <w:szCs w:val="24"/>
        </w:rPr>
        <w:t xml:space="preserve"> formations where multiple authors working independently published contradictory dates, all dates fulfilling the previous three criteria were considered equally valid</w:t>
      </w:r>
      <w:r>
        <w:rPr>
          <w:szCs w:val="24"/>
        </w:rPr>
        <w:t xml:space="preserve">. </w:t>
      </w:r>
      <w:r w:rsidRPr="00B3434D">
        <w:rPr>
          <w:szCs w:val="24"/>
        </w:rPr>
        <w:t>As such, the temporal extremes of all valid chronologies were considered the maximum and minimum dates for the specimen</w:t>
      </w:r>
      <w:r>
        <w:rPr>
          <w:szCs w:val="24"/>
        </w:rPr>
        <w:t xml:space="preserve">. </w:t>
      </w:r>
      <w:r w:rsidRPr="00B3434D">
        <w:rPr>
          <w:szCs w:val="24"/>
        </w:rPr>
        <w:t>For example, if Specimen X had been dated according to Chronology 1: 0.78 – 0.63 Ma and Chronology 2: 0.80 – 0.69 Ma, then the date range used for Specimen X in this study was 0.80 – 0.63 Ma.</w:t>
      </w:r>
    </w:p>
    <w:p w14:paraId="5DA27EBC" w14:textId="77777777" w:rsidR="005B51B1" w:rsidRPr="00517E3A" w:rsidRDefault="005B51B1" w:rsidP="005B51B1">
      <w:pPr>
        <w:spacing w:line="360" w:lineRule="auto"/>
        <w:ind w:firstLine="720"/>
        <w:rPr>
          <w:szCs w:val="24"/>
        </w:rPr>
      </w:pPr>
      <w:r w:rsidRPr="00517E3A">
        <w:rPr>
          <w:szCs w:val="24"/>
        </w:rPr>
        <w:t xml:space="preserve">We categorized age uncertainty in two ways: 1) error associated with the analytical technique used to date a particular specimen and 2) error due to stratigraphic uncertainty. The first kind is introduced when specimens are dated by a single age estimate on the geological bed within which the specimen was discovered. For this type of error, we recorded the mean age estimate along with the standard error associated with the dating method. The second kind, error due to stratigraphic uncertainty, is introduced when the age of a specimen is determined by dating geological horizons that bracket the specimen in question. In this case, we recorded the maximum and minimum date out of all possible candidate dates and disregarded the standard error associated with each date (e.g., for a specimen dated using two bracketing geological horizons with dates of 0.9 </w:t>
      </w:r>
      <w:r w:rsidRPr="00517E3A">
        <w:rPr>
          <w:szCs w:val="24"/>
          <w:u w:val="single"/>
        </w:rPr>
        <w:t>+</w:t>
      </w:r>
      <w:r w:rsidRPr="00517E3A">
        <w:rPr>
          <w:szCs w:val="24"/>
        </w:rPr>
        <w:t xml:space="preserve"> 0.02 Ma and 0.8 </w:t>
      </w:r>
      <w:r w:rsidRPr="00517E3A">
        <w:rPr>
          <w:szCs w:val="24"/>
          <w:u w:val="single"/>
        </w:rPr>
        <w:t>+</w:t>
      </w:r>
      <w:r w:rsidRPr="00517E3A">
        <w:rPr>
          <w:szCs w:val="24"/>
        </w:rPr>
        <w:t xml:space="preserve"> 0.02 M</w:t>
      </w:r>
      <w:r>
        <w:rPr>
          <w:szCs w:val="24"/>
        </w:rPr>
        <w:t xml:space="preserve">a, we used the age range of 0.9 – 0.8 </w:t>
      </w:r>
      <w:r w:rsidRPr="00517E3A">
        <w:rPr>
          <w:szCs w:val="24"/>
        </w:rPr>
        <w:t xml:space="preserve">Ma). This was because of the difficulty in combining different forms of error into a single probability distribution (see “Quantifying ECV </w:t>
      </w:r>
      <w:r>
        <w:rPr>
          <w:szCs w:val="24"/>
        </w:rPr>
        <w:t xml:space="preserve">and dating </w:t>
      </w:r>
      <w:r w:rsidRPr="00517E3A">
        <w:rPr>
          <w:szCs w:val="24"/>
        </w:rPr>
        <w:t>error”), and in almost all cases, the error associated with stratigraphic uncertainty far exceeded analytical dating error.</w:t>
      </w:r>
      <w:r>
        <w:rPr>
          <w:szCs w:val="24"/>
        </w:rPr>
        <w:br/>
      </w:r>
    </w:p>
    <w:p w14:paraId="3DE4EAC8" w14:textId="77777777" w:rsidR="005B51B1" w:rsidRPr="004171A8" w:rsidRDefault="005B51B1" w:rsidP="005B51B1">
      <w:pPr>
        <w:spacing w:line="360" w:lineRule="auto"/>
        <w:rPr>
          <w:szCs w:val="24"/>
          <w:u w:val="single"/>
        </w:rPr>
      </w:pPr>
      <w:r w:rsidRPr="004171A8">
        <w:rPr>
          <w:szCs w:val="24"/>
          <w:u w:val="single"/>
        </w:rPr>
        <w:t>Estimating clade-level evolutionary mode</w:t>
      </w:r>
    </w:p>
    <w:p w14:paraId="120FD77F" w14:textId="5F18825D" w:rsidR="005B51B1" w:rsidRPr="005F52C0" w:rsidRDefault="005B51B1" w:rsidP="005B51B1">
      <w:pPr>
        <w:widowControl w:val="0"/>
        <w:autoSpaceDE w:val="0"/>
        <w:autoSpaceDN w:val="0"/>
        <w:adjustRightInd w:val="0"/>
        <w:spacing w:line="360" w:lineRule="auto"/>
        <w:ind w:firstLine="720"/>
        <w:rPr>
          <w:b/>
          <w:szCs w:val="24"/>
        </w:rPr>
      </w:pPr>
      <w:r w:rsidRPr="00517E3A">
        <w:rPr>
          <w:szCs w:val="24"/>
        </w:rPr>
        <w:t xml:space="preserve">We explored </w:t>
      </w:r>
      <w:r>
        <w:rPr>
          <w:szCs w:val="24"/>
        </w:rPr>
        <w:t>six</w:t>
      </w:r>
      <w:r w:rsidRPr="00517E3A">
        <w:rPr>
          <w:szCs w:val="24"/>
        </w:rPr>
        <w:t xml:space="preserve"> evolutionary modes for the </w:t>
      </w:r>
      <w:r>
        <w:rPr>
          <w:szCs w:val="24"/>
        </w:rPr>
        <w:t>clade-level</w:t>
      </w:r>
      <w:r w:rsidRPr="00517E3A">
        <w:rPr>
          <w:szCs w:val="24"/>
        </w:rPr>
        <w:t xml:space="preserve"> </w:t>
      </w:r>
      <w:r>
        <w:rPr>
          <w:szCs w:val="24"/>
        </w:rPr>
        <w:t xml:space="preserve">ECV </w:t>
      </w:r>
      <w:r w:rsidRPr="00517E3A">
        <w:rPr>
          <w:szCs w:val="24"/>
        </w:rPr>
        <w:t>time series: random walk, gradualism, stasis, punctuated equilibrium with two stasis segments</w:t>
      </w:r>
      <w:r>
        <w:rPr>
          <w:szCs w:val="24"/>
        </w:rPr>
        <w:t>,</w:t>
      </w:r>
      <w:r w:rsidRPr="00517E3A">
        <w:rPr>
          <w:szCs w:val="24"/>
        </w:rPr>
        <w:t xml:space="preserve"> stasis-random walk, and stasis-gradualism</w:t>
      </w:r>
      <w:r>
        <w:rPr>
          <w:szCs w:val="24"/>
        </w:rPr>
        <w:t xml:space="preserve"> </w:t>
      </w:r>
      <w:r>
        <w:rPr>
          <w:szCs w:val="24"/>
        </w:rPr>
        <w:fldChar w:fldCharType="begin"/>
      </w:r>
      <w:r w:rsidR="00006B9A">
        <w:rPr>
          <w:szCs w:val="24"/>
        </w:rPr>
        <w:instrText xml:space="preserve"> ADDIN ZOTERO_ITEM CSL_CITATION {"citationID":"1qobtk71h9","properties":{"formattedCitation":"{\\rtf [3\\uc0\\u8211{}5]}","plainCitation":"[3–5]"},"citationItems":[{"id":164,"uris":["http://zotero.org/users/2478888/items/5VFA83ZF"],"uri":["http://zotero.org/users/2478888/items/5VFA83ZF"],"itemData":{"id":164,"type":"article-journal","title":"Fitting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evolution","author":[{"family":"Hunt","given":"Gene"}],"issued":{"date-parts":[["2006"]]}}},{"id":413,"uris":["http://zotero.org/users/2478888/items/BC7EM3IC"],"uri":["http://zotero.org/users/2478888/items/BC7EM3IC"],"itemData":{"id":413,"type":"article-journal","title":"Gradual or pulsed evolution: When should punctuational explanations be preferred?","container-title":"Paleobiology","page":"360-377","volume":"34","issue":"3","source":"Google Scholar","shortTitle":"Gradual or pulsed evolution","author":[{"family":"Hunt","given":"Gene"}],"issued":{"date-parts":[["2008"]]}}},{"id":868,"uris":["http://zotero.org/users/2478888/items/M9DMSE94"],"uri":["http://zotero.org/users/2478888/items/M9DMSE94"],"itemData":{"id":868,"type":"article-journal","title":"Simple versus complex models of trait evolution and stasis as a response to environmental change","container-title":"Proceedings of the National Academy of Sciences","page":"4885-4890","volume":"112","issue":"16","source":"www.pnas.org","abstract":"Previous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environments.","DOI":"10.1073/pnas.1403662111","ISSN":"0027-8424, 1091-6490","note":"PMID: 25901309","journalAbbreviation":"PNAS","language":"en","author":[{"family":"Hunt","given":"Gene"},{"family":"Hopkins","given":"Melanie J."},{"family":"Lidgard","given":"Scott"}],"issued":{"date-parts":[["2015",4,21]]}}}],"schema":"https://github.com/citation-style-language/schema/raw/master/csl-citation.json"} </w:instrText>
      </w:r>
      <w:r>
        <w:rPr>
          <w:szCs w:val="24"/>
        </w:rPr>
        <w:fldChar w:fldCharType="separate"/>
      </w:r>
      <w:r w:rsidR="00006B9A" w:rsidRPr="00006B9A">
        <w:rPr>
          <w:szCs w:val="24"/>
        </w:rPr>
        <w:t>[3–5]</w:t>
      </w:r>
      <w:r>
        <w:rPr>
          <w:szCs w:val="24"/>
        </w:rPr>
        <w:fldChar w:fldCharType="end"/>
      </w:r>
      <w:r w:rsidRPr="00517E3A">
        <w:rPr>
          <w:szCs w:val="24"/>
        </w:rPr>
        <w:t xml:space="preserve">. The last two modes have not traditionally been tested in the hominin ECV literature, but visual inspection of the time series suggested that these </w:t>
      </w:r>
      <w:r>
        <w:rPr>
          <w:szCs w:val="24"/>
        </w:rPr>
        <w:t>could</w:t>
      </w:r>
      <w:r w:rsidRPr="00517E3A">
        <w:rPr>
          <w:szCs w:val="24"/>
        </w:rPr>
        <w:t xml:space="preserve"> provide </w:t>
      </w:r>
      <w:r>
        <w:rPr>
          <w:szCs w:val="24"/>
        </w:rPr>
        <w:t>strong</w:t>
      </w:r>
      <w:r w:rsidRPr="00517E3A">
        <w:rPr>
          <w:szCs w:val="24"/>
        </w:rPr>
        <w:t xml:space="preserve"> fits to the data</w:t>
      </w:r>
      <w:r>
        <w:rPr>
          <w:szCs w:val="24"/>
        </w:rPr>
        <w:t xml:space="preserve">. The punctuated equilibrium model, in its original formulation, requires lineage splitting </w:t>
      </w:r>
      <w:r>
        <w:rPr>
          <w:szCs w:val="24"/>
        </w:rPr>
        <w:fldChar w:fldCharType="begin"/>
      </w:r>
      <w:r w:rsidR="00006B9A">
        <w:rPr>
          <w:szCs w:val="24"/>
        </w:rPr>
        <w:instrText xml:space="preserve"> ADDIN ZOTERO_ITEM CSL_CITATION {"citationID":"jLUbzkFR","properties":{"formattedCitation":"[6,7]","plainCitation":"[6,7]"},"citationItems":[{"id":311,"uris":["http://zotero.org/users/2478888/items/99HCQ5CK"],"uri":["http://zotero.org/users/2478888/items/99HCQ5CK"],"itemData":{"id":311,"type":"chapter","title":"Punctuated equilibria: an alternative to phyletic gradualism","container-title":"Models in Paleobiology","publisher":"Freeman, Cooper and Company","publisher-place":"San Francisco","page":"82-115","event-place":"San Francisco","author":[{"family":"Eldredge","given":"Niles"},{"family":"Gould","given":"Stephen Jay"}],"editor":[{"family":"Schopf","given":"Thomas J.M."}],"issued":{"date-parts":[["1972"]]}}},{"id":141,"uris":["http://zotero.org/users/2478888/items/5CU7BI25"],"uri":["http://zotero.org/users/2478888/items/5CU7BI25"],"itemData":{"id":141,"type":"article-journal","title":"Phenotypic Evolution in Fossil Species: Pattern and Process","container-title":"Annual Review of Earth and Planetary Sciences","page":"421-441","volume":"42","issue":"1","source":"CrossRef","DOI":"10.1146/annurev-earth-040809-152524","ISSN":"0084-6597, 1545-4495","shortTitle":"Phenotypic Evolution in Fossil Species","language":"en","author":[{"family":"Hunt","given":"Gene"},{"family":"Rabosky","given":"Daniel L."}],"issued":{"date-parts":[["2014",5,30]]}}}],"schema":"https://github.com/citation-style-language/schema/raw/master/csl-citation.json"} </w:instrText>
      </w:r>
      <w:r>
        <w:rPr>
          <w:szCs w:val="24"/>
        </w:rPr>
        <w:fldChar w:fldCharType="separate"/>
      </w:r>
      <w:r w:rsidR="00006B9A" w:rsidRPr="00006B9A">
        <w:t>[6,7]</w:t>
      </w:r>
      <w:r>
        <w:rPr>
          <w:szCs w:val="24"/>
        </w:rPr>
        <w:fldChar w:fldCharType="end"/>
      </w:r>
      <w:r>
        <w:rPr>
          <w:szCs w:val="24"/>
        </w:rPr>
        <w:t>, as opposed to punctuated change within a lineage</w:t>
      </w:r>
      <w:r w:rsidR="003D41F0">
        <w:rPr>
          <w:szCs w:val="24"/>
        </w:rPr>
        <w:t xml:space="preserve"> (</w:t>
      </w:r>
      <w:r>
        <w:rPr>
          <w:szCs w:val="24"/>
        </w:rPr>
        <w:t xml:space="preserve">which has </w:t>
      </w:r>
      <w:r w:rsidR="00D22991">
        <w:rPr>
          <w:szCs w:val="24"/>
        </w:rPr>
        <w:t xml:space="preserve">also </w:t>
      </w:r>
      <w:r>
        <w:rPr>
          <w:szCs w:val="24"/>
        </w:rPr>
        <w:t xml:space="preserve">been observed in the fossil record </w:t>
      </w:r>
      <w:r>
        <w:rPr>
          <w:szCs w:val="24"/>
        </w:rPr>
        <w:fldChar w:fldCharType="begin"/>
      </w:r>
      <w:r w:rsidR="00006B9A">
        <w:rPr>
          <w:szCs w:val="24"/>
        </w:rPr>
        <w:instrText xml:space="preserve"> ADDIN ZOTERO_ITEM CSL_CITATION {"citationID":"kUdfq5R0","properties":{"formattedCitation":"[8]","plainCitation":"[8]"},"citationItems":[{"id":580,"uris":["http://zotero.org/users/2478888/items/EZXUPSZA"],"uri":["http://zotero.org/users/2478888/items/EZXUPSZA"],"itemData":{"id":580,"type":"article-journal","title":"Scale and hierarchy in macroevolution","container-title":"Palaeontology","page":"87-109","volume":"50","issue":"1","source":"Wiley Online Library","abstract":"Abstract:  Scale and hierarchy must be incorporated into any conceptual framework for the study of macroevolution, i.e. evolution above the species level. Expansion of temporal and spatial scales reveals evolutionary patterns and processes that are virtually inaccessible to, and unpredictable from, short-term, localized observations. These larger-scale phenomena range from evolutionary stasis at the species level and the mosaic assembly of complex morphologies in ancestral forms to the non-random distribution in time and space of the origin of major evolutionary novelties, as exemplified by the Cambrian explosion and post-extinction recoveries of metazoans, and the preferential origin of major marine groups in onshore environments and tropical waters. Virtually all of these phenomena probably involve both ecological and developmental factors, but the integration of these components with macroevolutionary theory has only just begun. Differential survival and reproduction of units can occur at several levels within a biological hierarchy that includes DNA sequences, organisms, species and clades. Evolution by natural selection can occur at any level where there is heritable variation that affects birth and death of units by virtue of interaction with the environment. This dynamic can occur when selfish DNA sequences replicate disproportionately within genomes, when organisms enjoy fitness advantages within populations (classical Darwinian selection), when differential speciation or extinction occurs within clades owing to organismic properties (effect macroevolution), and when differential speciation or extinction occurs within clades owing to emergent, species-level properties (in the strict sense species selection). Operationally, emergent species-level properties such as geographical range can be recognized by testing whether their macroevolutionary effects are similar regardless of the different lower-level factors that produce them. Large-scale evolutionary trends can be driven by transformation of species, preferential production of species in a given direction, differential origination or extinction, or any combination of these; the potential for organismic traits to hitch-hike on other factors that promote speciation or damp extinction is high. Additional key attributes of macroevolutionary dynamics within biological hierarchies are that (1) hierarchical levels are linked by upward and downward causation, so that emergent properties at a focal level do not impart complete independence; (2) hierarchical effects are asymmetrical, so that dynamics at a given focal level need not propagate upwards, but will always cascade downwards; and (3) rates are generally, although not always, faster at lower hierarchical levels. Temporal and spatial patterns in the origin of major novelties and higher taxa are significantly discordant from those at the species and genus levels, suggesting complex hierarchical effects that remain poorly understood. Not only are many of the features promoting survivorship during background times ineffective during mass extinctions, but also they are replaced in at least some cases by higher-level, irreducible attributes such as clade-level geographical range. The incorporation of processes that operate across hierarchical levels and a range of temporal and spatial scales has expanded and enriched our understanding of evolution.","DOI":"10.1111/j.1475-4983.2006.00615.x","ISSN":"1475-4983","language":"en","author":[{"family":"Jablonski","given":"David"}],"issued":{"date-parts":[["2007",1,1]]}}}],"schema":"https://github.com/citation-style-language/schema/raw/master/csl-citation.json"} </w:instrText>
      </w:r>
      <w:r>
        <w:rPr>
          <w:szCs w:val="24"/>
        </w:rPr>
        <w:fldChar w:fldCharType="separate"/>
      </w:r>
      <w:r w:rsidR="00006B9A" w:rsidRPr="00006B9A">
        <w:t>[8]</w:t>
      </w:r>
      <w:r>
        <w:rPr>
          <w:szCs w:val="24"/>
        </w:rPr>
        <w:fldChar w:fldCharType="end"/>
      </w:r>
      <w:r w:rsidR="003D41F0">
        <w:rPr>
          <w:szCs w:val="24"/>
        </w:rPr>
        <w:t>)</w:t>
      </w:r>
      <w:r>
        <w:rPr>
          <w:szCs w:val="24"/>
        </w:rPr>
        <w:t>. We do not require an association between punctuations and lineage-</w:t>
      </w:r>
      <w:r>
        <w:rPr>
          <w:szCs w:val="24"/>
        </w:rPr>
        <w:lastRenderedPageBreak/>
        <w:t xml:space="preserve">splitting events in our analyses, so our “punctuation equilibrium” model is merely descriptive and is probably more appropriately named “punctuated clade-level change.” A seventh mode, punctuated equilibrium with three stasis segments, was also tested but received poor model support, so it will not be considered further. </w:t>
      </w:r>
      <w:r w:rsidRPr="00517E3A">
        <w:rPr>
          <w:szCs w:val="24"/>
        </w:rPr>
        <w:t>All of the evolutionary modes were operationalized as statistical models in R 3.0.3</w:t>
      </w:r>
      <w:r>
        <w:rPr>
          <w:szCs w:val="24"/>
        </w:rPr>
        <w:t xml:space="preserve"> </w:t>
      </w:r>
      <w:r w:rsidRPr="00517E3A">
        <w:rPr>
          <w:szCs w:val="24"/>
        </w:rPr>
        <w:fldChar w:fldCharType="begin"/>
      </w:r>
      <w:r w:rsidR="00006B9A">
        <w:rPr>
          <w:szCs w:val="24"/>
        </w:rPr>
        <w:instrText xml:space="preserve"> ADDIN ZOTERO_ITEM CSL_CITATION {"citationID":"467ts8dsc","properties":{"formattedCitation":"[9]","plainCitation":"[9]"},"citationItems":[{"id":974,"uris":["http://zotero.org/users/2478888/items/PGKHVFNF"],"uri":["http://zotero.org/users/2478888/items/PGKHVFNF"],"itemData":{"id":974,"type":"book","title":"R: A Language and Environment for Statistical Computing.","publisher":"R Foundation for Statistical Computing","publisher-place":"Vienna, Austria","event-place":"Vienna, Austria","URL":"http://www.R-project.org/","author":[{"literal":"R Core Team"}],"issued":{"date-parts":[["2015"]]}}}],"schema":"https://github.com/citation-style-language/schema/raw/master/csl-citation.json"} </w:instrText>
      </w:r>
      <w:r w:rsidRPr="00517E3A">
        <w:rPr>
          <w:szCs w:val="24"/>
        </w:rPr>
        <w:fldChar w:fldCharType="separate"/>
      </w:r>
      <w:r w:rsidR="00006B9A" w:rsidRPr="00006B9A">
        <w:t>[9]</w:t>
      </w:r>
      <w:r w:rsidRPr="00517E3A">
        <w:rPr>
          <w:szCs w:val="24"/>
        </w:rPr>
        <w:fldChar w:fldCharType="end"/>
      </w:r>
      <w:r w:rsidRPr="00517E3A">
        <w:rPr>
          <w:szCs w:val="24"/>
        </w:rPr>
        <w:t xml:space="preserve"> using the </w:t>
      </w:r>
      <w:r w:rsidR="001A753B">
        <w:rPr>
          <w:szCs w:val="24"/>
        </w:rPr>
        <w:t>“</w:t>
      </w:r>
      <w:r w:rsidRPr="001A753B">
        <w:rPr>
          <w:szCs w:val="24"/>
        </w:rPr>
        <w:t>paleoTS</w:t>
      </w:r>
      <w:r w:rsidR="001A753B">
        <w:rPr>
          <w:szCs w:val="24"/>
        </w:rPr>
        <w:t>”</w:t>
      </w:r>
      <w:r w:rsidRPr="00517E3A">
        <w:rPr>
          <w:szCs w:val="24"/>
        </w:rPr>
        <w:t xml:space="preserve"> package</w:t>
      </w:r>
      <w:r>
        <w:rPr>
          <w:szCs w:val="24"/>
        </w:rPr>
        <w:t xml:space="preserve"> </w:t>
      </w:r>
      <w:r w:rsidRPr="00517E3A">
        <w:rPr>
          <w:szCs w:val="24"/>
        </w:rPr>
        <w:fldChar w:fldCharType="begin"/>
      </w:r>
      <w:r w:rsidR="00006B9A">
        <w:rPr>
          <w:szCs w:val="24"/>
        </w:rPr>
        <w:instrText xml:space="preserve"> ADDIN ZOTERO_ITEM CSL_CITATION {"citationID":"aDuQo211","properties":{"formattedCitation":"[10]","plainCitation":"[10]"},"citationItems":[{"id":1301,"uris":["http://zotero.org/users/2478888/items/X9PG3M6W"],"uri":["http://zotero.org/users/2478888/items/X9PG3M6W"],"itemData":{"id":1301,"type":"book","title":"paleoTS: Analyze Paleontological Time-Series. R package version 0.5-1.","version":"0.5-1","URL":"cran.r-project.org/web/packages/paleoTS/","author":[{"family":"Hunt","given":"Gene"}],"issued":{"date-parts":[["2015"]]}}}],"schema":"https://github.com/citation-style-language/schema/raw/master/csl-citation.json"} </w:instrText>
      </w:r>
      <w:r w:rsidRPr="00517E3A">
        <w:rPr>
          <w:szCs w:val="24"/>
        </w:rPr>
        <w:fldChar w:fldCharType="separate"/>
      </w:r>
      <w:r w:rsidR="00006B9A" w:rsidRPr="00006B9A">
        <w:t>[10]</w:t>
      </w:r>
      <w:r w:rsidRPr="00517E3A">
        <w:rPr>
          <w:szCs w:val="24"/>
        </w:rPr>
        <w:fldChar w:fldCharType="end"/>
      </w:r>
      <w:r>
        <w:rPr>
          <w:szCs w:val="24"/>
        </w:rPr>
        <w:t xml:space="preserve">. </w:t>
      </w:r>
      <w:r w:rsidRPr="00517E3A">
        <w:rPr>
          <w:szCs w:val="24"/>
        </w:rPr>
        <w:t>Random walk and gradualism were modeled as having ECV transitions drawn from a normal distribution (i.e., the “step distribution”) where the mean determines directionality and variance determines volatility of the trend</w:t>
      </w:r>
      <w:r>
        <w:rPr>
          <w:szCs w:val="24"/>
        </w:rPr>
        <w:t xml:space="preserve"> </w:t>
      </w:r>
      <w:r w:rsidRPr="00517E3A">
        <w:rPr>
          <w:szCs w:val="24"/>
        </w:rPr>
        <w:fldChar w:fldCharType="begin"/>
      </w:r>
      <w:r w:rsidR="00006B9A">
        <w:rPr>
          <w:szCs w:val="24"/>
        </w:rPr>
        <w:instrText xml:space="preserve"> ADDIN ZOTERO_ITEM CSL_CITATION {"citationID":"aadgEXvl","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517E3A">
        <w:rPr>
          <w:szCs w:val="24"/>
        </w:rPr>
        <w:fldChar w:fldCharType="separate"/>
      </w:r>
      <w:r w:rsidR="00006B9A" w:rsidRPr="00006B9A">
        <w:t>[3]</w:t>
      </w:r>
      <w:r w:rsidRPr="00517E3A">
        <w:rPr>
          <w:szCs w:val="24"/>
        </w:rPr>
        <w:fldChar w:fldCharType="end"/>
      </w:r>
      <w:r w:rsidRPr="00517E3A">
        <w:rPr>
          <w:szCs w:val="24"/>
        </w:rPr>
        <w:t xml:space="preserve">. Both models </w:t>
      </w:r>
      <w:r w:rsidR="00460F83">
        <w:rPr>
          <w:szCs w:val="24"/>
        </w:rPr>
        <w:t>have</w:t>
      </w:r>
      <w:r w:rsidR="00460F83" w:rsidRPr="00517E3A">
        <w:rPr>
          <w:szCs w:val="24"/>
        </w:rPr>
        <w:t xml:space="preserve"> </w:t>
      </w:r>
      <w:r w:rsidRPr="00517E3A">
        <w:rPr>
          <w:szCs w:val="24"/>
        </w:rPr>
        <w:t xml:space="preserve">trait mean and step variance parameters, but the random walk model has a fixed step mean of zero (i.e., ECV increases and decreases are equally likely at each time step) </w:t>
      </w:r>
      <w:r>
        <w:rPr>
          <w:szCs w:val="24"/>
        </w:rPr>
        <w:t>whereas</w:t>
      </w:r>
      <w:r w:rsidRPr="00517E3A">
        <w:rPr>
          <w:szCs w:val="24"/>
        </w:rPr>
        <w:t xml:space="preserve"> the gradualism model’s step mean is an estimated non-zero parameter (i.e., there is a net positive or negative trend)</w:t>
      </w:r>
      <w:r>
        <w:rPr>
          <w:szCs w:val="24"/>
        </w:rPr>
        <w:t xml:space="preserve"> </w:t>
      </w:r>
      <w:r w:rsidRPr="00517E3A">
        <w:rPr>
          <w:szCs w:val="24"/>
        </w:rPr>
        <w:fldChar w:fldCharType="begin"/>
      </w:r>
      <w:r w:rsidR="00006B9A">
        <w:rPr>
          <w:szCs w:val="24"/>
        </w:rPr>
        <w:instrText xml:space="preserve"> ADDIN ZOTERO_ITEM CSL_CITATION {"citationID":"imvedp46u","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517E3A">
        <w:rPr>
          <w:szCs w:val="24"/>
        </w:rPr>
        <w:fldChar w:fldCharType="separate"/>
      </w:r>
      <w:r w:rsidR="00006B9A" w:rsidRPr="00006B9A">
        <w:t>[3]</w:t>
      </w:r>
      <w:r w:rsidRPr="00517E3A">
        <w:rPr>
          <w:szCs w:val="24"/>
        </w:rPr>
        <w:fldChar w:fldCharType="end"/>
      </w:r>
      <w:r w:rsidRPr="00517E3A">
        <w:rPr>
          <w:szCs w:val="24"/>
        </w:rPr>
        <w:t>. Stasis is modeled as normally distributed variation around an optimal ECV, both of which do not change through time</w:t>
      </w:r>
      <w:r>
        <w:rPr>
          <w:szCs w:val="24"/>
        </w:rPr>
        <w:t xml:space="preserve"> </w:t>
      </w:r>
      <w:r w:rsidRPr="00517E3A">
        <w:rPr>
          <w:szCs w:val="24"/>
        </w:rPr>
        <w:fldChar w:fldCharType="begin"/>
      </w:r>
      <w:r w:rsidR="00006B9A">
        <w:rPr>
          <w:szCs w:val="24"/>
        </w:rPr>
        <w:instrText xml:space="preserve"> ADDIN ZOTERO_ITEM CSL_CITATION {"citationID":"18i88ek60g","properties":{"formattedCitation":"[3,11]","plainCitation":"[3,11]"},"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evolution","author":[{"family":"Hunt","given":"Gene"}],"issued":{"date-parts":[["2006"]]}}},{"id":1024,"uris":["http://zotero.org/users/2478888/items/QS7NRPPG"],"uri":["http://zotero.org/users/2478888/items/QS7NRPPG"],"itemData":{"id":1024,"type":"article-journal","title":"Why the null matters: statistical tests, random walks and evolution","container-title":"Genetica","page":"105-125","volume":"112-113","source":"PubMed","abstract":"A number of statistical tests have been developed to determine what type of dynamics underlie observed changes in morphology in evolutionary time series, based on the pattern of change within the time series. The theory of the 'scaled maximum', the 'log-rate-interval' (LRI) method, and the Hurst exponent all operate on the same principle of comparing the maximum change, or rate of change, in the observed dataset to the maximum change expected of a random walk. Less change in a dataset than expected of a random walk has been interpreted as indicating stabilizing selection, while more change implies directional selection. The 'runs test' in contrast, operates on the sequencing of steps, rather than on excursion. Applications of these tests to computer generated, simulated time series of known dynamical form and various levels of additive noise indicate that there is a fundamental asymmetry in the rate of type II errors of the tests based on excursion: they are all highly sensitive to noise in models of directional selection that result in a linear trend within a time series, but are largely noise immune in the case of a simple model of stabilizing selection. Additionally, the LRI method has a lower sensitivity than originally claimed, due to the large range of LRI rates produced by random walks. Examination of the published results of these tests show that they have seldom produced a conclusion that an observed evolutionary time series was due to directional selection, a result which needs closer examination in light of the asymmetric response of these tests.","ISSN":"0016-6707","note":"PMID: 11838761","shortTitle":"Why the null matters","journalAbbreviation":"Genetica","language":"eng","author":[{"family":"Sheets","given":"H. D."},{"family":"Mitchell","given":"C. E."}],"issued":{"date-parts":[["2001"]]}}}],"schema":"https://github.com/citation-style-language/schema/raw/master/csl-citation.json"} </w:instrText>
      </w:r>
      <w:r w:rsidRPr="00517E3A">
        <w:rPr>
          <w:szCs w:val="24"/>
        </w:rPr>
        <w:fldChar w:fldCharType="separate"/>
      </w:r>
      <w:r w:rsidR="00006B9A" w:rsidRPr="00006B9A">
        <w:t>[3,11]</w:t>
      </w:r>
      <w:r w:rsidRPr="00517E3A">
        <w:rPr>
          <w:szCs w:val="24"/>
        </w:rPr>
        <w:fldChar w:fldCharType="end"/>
      </w:r>
      <w:r>
        <w:rPr>
          <w:szCs w:val="24"/>
        </w:rPr>
        <w:t>. Punctuated equilibrium</w:t>
      </w:r>
      <w:r w:rsidRPr="00517E3A">
        <w:rPr>
          <w:szCs w:val="24"/>
        </w:rPr>
        <w:t>, s</w:t>
      </w:r>
      <w:r>
        <w:rPr>
          <w:szCs w:val="24"/>
        </w:rPr>
        <w:t>tasis</w:t>
      </w:r>
      <w:r w:rsidRPr="00517E3A">
        <w:rPr>
          <w:szCs w:val="24"/>
        </w:rPr>
        <w:t>-random walk, and stasis-gradualism are all permutations of the three simpler models separated by one punctuation, the location of which is estimated as a free parameter</w:t>
      </w:r>
      <w:r>
        <w:rPr>
          <w:szCs w:val="24"/>
        </w:rPr>
        <w:t xml:space="preserve"> </w:t>
      </w:r>
      <w:r w:rsidRPr="00517E3A">
        <w:rPr>
          <w:szCs w:val="24"/>
        </w:rPr>
        <w:fldChar w:fldCharType="begin"/>
      </w:r>
      <w:r w:rsidR="00006B9A">
        <w:rPr>
          <w:szCs w:val="24"/>
        </w:rPr>
        <w:instrText xml:space="preserve"> ADDIN ZOTERO_ITEM CSL_CITATION {"citationID":"19grob2in2","properties":{"formattedCitation":"[4,5]","plainCitation":"[4,5]"},"citationItems":[{"id":413,"uris":["http://zotero.org/users/2478888/items/BC7EM3IC"],"uri":["http://zotero.org/users/2478888/items/BC7EM3IC"],"itemData":{"id":413,"type":"article-journal","title":"Gradual or pulsed evolution: When should punctuational explanations be preferred?","container-title":"Paleobiology","page":"360-377","volume":"34","issue":"3","source":"Google Scholar","shortTitle":"Gradual or pulsed evolution","author":[{"family":"Hunt","given":"Gene"}],"issued":{"date-parts":[["2008"]]}}},{"id":868,"uris":["http://zotero.org/users/2478888/items/M9DMSE94"],"uri":["http://zotero.org/users/2478888/items/M9DMSE94"],"itemData":{"id":868,"type":"article-journal","title":"Simple versus complex models of trait evolution and stasis as a response to environmental change","container-title":"Proceedings of the National Academy of Sciences","page":"4885-4890","volume":"112","issue":"16","source":"www.pnas.org","abstract":"Previous analyses of evolutionary patterns, or modes, in fossil lineages have focused overwhelmingly on three simple models: stasis, random walks, and directional evolution. Here we use likelihood methods to fit an expanded set of evolutionary models to a large compilation of ancestor–descendant series of populations from the fossil record. In addition to the standard three models, we assess more complex models with punctuations and shifts from one evolutionary mode to another. As in previous studies, we find that stasis is common in the fossil record, as is a strict version of stasis that entails no real evolutionary changes. Incidence of directional evolution is relatively low (13%), but higher than in previous studies because our analytical approach can more sensitively detect noisy trends. Complex evolutionary models are often favored, overwhelmingly so for sequences comprising many samples. This finding is consistent with evolutionary dynamics that are, in reality, more complex than any of the models we consider. Furthermore, the timing of shifts in evolutionary dynamics varies among traits measured from the same series. Finally, we use our empirical collection of evolutionary sequences and a long and highly resolved proxy for global climate to inform simulations in which traits adaptively track temperature changes over time. When realistically calibrated, we find that this simple model can reproduce important aspects of our paleontological results. We conclude that observed paleontological patterns, including the prevalence of stasis, need not be inconsistent with adaptive evolution, even in the face of unstable physical environments.","DOI":"10.1073/pnas.1403662111","ISSN":"0027-8424, 1091-6490","note":"PMID: 25901309","journalAbbreviation":"PNAS","language":"en","author":[{"family":"Hunt","given":"Gene"},{"family":"Hopkins","given":"Melanie J."},{"family":"Lidgard","given":"Scott"}],"issued":{"date-parts":[["2015",4,21]]}}}],"schema":"https://github.com/citation-style-language/schema/raw/master/csl-citation.json"} </w:instrText>
      </w:r>
      <w:r w:rsidRPr="00517E3A">
        <w:rPr>
          <w:szCs w:val="24"/>
        </w:rPr>
        <w:fldChar w:fldCharType="separate"/>
      </w:r>
      <w:r w:rsidR="00006B9A" w:rsidRPr="00006B9A">
        <w:t>[4,5]</w:t>
      </w:r>
      <w:r w:rsidRPr="00517E3A">
        <w:rPr>
          <w:szCs w:val="24"/>
        </w:rPr>
        <w:fldChar w:fldCharType="end"/>
      </w:r>
      <w:r w:rsidRPr="00517E3A">
        <w:rPr>
          <w:szCs w:val="24"/>
        </w:rPr>
        <w:t>.</w:t>
      </w:r>
    </w:p>
    <w:p w14:paraId="04CAD8A4" w14:textId="12035814" w:rsidR="005B51B1" w:rsidRDefault="005B51B1" w:rsidP="005B51B1">
      <w:pPr>
        <w:spacing w:line="360" w:lineRule="auto"/>
        <w:ind w:firstLine="720"/>
        <w:rPr>
          <w:szCs w:val="24"/>
        </w:rPr>
      </w:pPr>
      <w:r w:rsidRPr="00517E3A">
        <w:rPr>
          <w:szCs w:val="24"/>
        </w:rPr>
        <w:t xml:space="preserve">Model parameters were estimated via maximum likelihood by using the “Joint” method in </w:t>
      </w:r>
      <w:r w:rsidRPr="00261FC1">
        <w:rPr>
          <w:i/>
          <w:szCs w:val="24"/>
        </w:rPr>
        <w:t>paleoTS</w:t>
      </w:r>
      <w:r w:rsidRPr="00517E3A">
        <w:rPr>
          <w:szCs w:val="24"/>
        </w:rPr>
        <w:t xml:space="preserve">. This involved model parameters being estimated by considering all binned ECV </w:t>
      </w:r>
      <w:r>
        <w:rPr>
          <w:szCs w:val="24"/>
        </w:rPr>
        <w:t xml:space="preserve">values </w:t>
      </w:r>
      <w:r w:rsidRPr="00517E3A">
        <w:rPr>
          <w:szCs w:val="24"/>
        </w:rPr>
        <w:t>(see “</w:t>
      </w:r>
      <w:r w:rsidRPr="00B57584">
        <w:rPr>
          <w:szCs w:val="24"/>
        </w:rPr>
        <w:t>Examining clade-level evolutionary models while incorporating error</w:t>
      </w:r>
      <w:r w:rsidRPr="00517E3A">
        <w:rPr>
          <w:szCs w:val="24"/>
        </w:rPr>
        <w:t>”</w:t>
      </w:r>
      <w:r w:rsidRPr="00517E3A">
        <w:rPr>
          <w:b/>
          <w:szCs w:val="24"/>
        </w:rPr>
        <w:t xml:space="preserve"> </w:t>
      </w:r>
      <w:r w:rsidRPr="00517E3A">
        <w:rPr>
          <w:szCs w:val="24"/>
        </w:rPr>
        <w:t xml:space="preserve">below) within a sequence jointly as a single draw from a multivariate normal distribution. This </w:t>
      </w:r>
      <w:r>
        <w:rPr>
          <w:szCs w:val="24"/>
        </w:rPr>
        <w:t xml:space="preserve">approach </w:t>
      </w:r>
      <w:r w:rsidRPr="00517E3A">
        <w:rPr>
          <w:szCs w:val="24"/>
        </w:rPr>
        <w:t xml:space="preserve">more accurately detects noisy trends than </w:t>
      </w:r>
      <w:r>
        <w:rPr>
          <w:szCs w:val="24"/>
        </w:rPr>
        <w:t xml:space="preserve">one </w:t>
      </w:r>
      <w:r w:rsidRPr="00517E3A">
        <w:rPr>
          <w:szCs w:val="24"/>
        </w:rPr>
        <w:t>analyzing differences across adjacent time bins (i.e., first differencing)</w:t>
      </w:r>
      <w:r>
        <w:rPr>
          <w:szCs w:val="24"/>
        </w:rPr>
        <w:t xml:space="preserve"> </w:t>
      </w:r>
      <w:r w:rsidRPr="00517E3A">
        <w:rPr>
          <w:szCs w:val="24"/>
        </w:rPr>
        <w:fldChar w:fldCharType="begin"/>
      </w:r>
      <w:r w:rsidR="00006B9A">
        <w:rPr>
          <w:szCs w:val="24"/>
        </w:rPr>
        <w:instrText xml:space="preserve"> ADDIN ZOTERO_ITEM CSL_CITATION {"citationID":"1ia139qaqm","properties":{"formattedCitation":"[12]","plainCitation":"[12]"},"citationItems":[{"id":1334,"uris":["http://zotero.org/users/2478888/items/Z4A3RTTC"],"uri":["http://zotero.org/users/2478888/items/Z4A3RTTC"],"itemData":{"id":1334,"type":"chapter","title":"Evolutionary patterns within fossil lineages: Model-based assessment of modes, rates, punctuations and process","container-title":"From Evolution to Geobiology: Research Questions Driving Paleontology at the Start of a New Century. Paleontological Society Papers","collection-title":"Paleontological Society Papers","publisher":"Paleontological Society","publisher-place":"Pittsburgh","page":"117–131","volume":"14","source":"Google Scholar","event-place":"Pittsburgh","URL":"http://www.researchgate.net/profile/Gene_Hunt/publication/236883884_Evolutionary_patterns_within_fossil_lineages_model-based_assessment_of_modes_rates_punctuations_and_process/links/00b7d51b878ee00343000000.pdf","shortTitle":"Evolutionary patterns within fossil lineages","author":[{"family":"Hunt","given":"GENE"}],"editor":[{"family":"Kelley","given":"P.H."},{"family":"Bambach","given":"R. K."}],"issued":{"date-parts":[["2008"]]},"accessed":{"date-parts":[["2015",5,19]]}}}],"schema":"https://github.com/citation-style-language/schema/raw/master/csl-citation.json"} </w:instrText>
      </w:r>
      <w:r w:rsidRPr="00517E3A">
        <w:rPr>
          <w:szCs w:val="24"/>
        </w:rPr>
        <w:fldChar w:fldCharType="separate"/>
      </w:r>
      <w:r w:rsidR="00006B9A" w:rsidRPr="00006B9A">
        <w:t>[12]</w:t>
      </w:r>
      <w:r w:rsidRPr="00517E3A">
        <w:rPr>
          <w:szCs w:val="24"/>
        </w:rPr>
        <w:fldChar w:fldCharType="end"/>
      </w:r>
      <w:r w:rsidRPr="00517E3A">
        <w:rPr>
          <w:szCs w:val="24"/>
        </w:rPr>
        <w:t>. For model selection, we used the small-sample, bias-corrected Akaike Information Criterion (AICc) to assess model fit to the data, penalizing for the number of parameters in the model to prevent overfitting</w:t>
      </w:r>
      <w:r>
        <w:rPr>
          <w:szCs w:val="24"/>
        </w:rPr>
        <w:t xml:space="preserve"> </w:t>
      </w:r>
      <w:r>
        <w:rPr>
          <w:szCs w:val="24"/>
        </w:rPr>
        <w:fldChar w:fldCharType="begin"/>
      </w:r>
      <w:r w:rsidR="00006B9A">
        <w:rPr>
          <w:szCs w:val="24"/>
        </w:rPr>
        <w:instrText xml:space="preserve"> ADDIN ZOTERO_ITEM CSL_CITATION {"citationID":"kLSv3tsB","properties":{"formattedCitation":"[13]","plainCitation":"[13]"},"citationItems":[{"id":1268,"uris":["http://zotero.org/users/2478888/items/WA3QXDP3"],"uri":["http://zotero.org/users/2478888/items/WA3QXDP3"],"itemData":{"id":1268,"type":"book","title":"Model selection and multimodel inference: a practical information-theoretic approach","publisher":"Springer","publisher-place":"New York","number-of-pages":"488","edition":"2nd ed","source":"Library of Congress ISBN","event-place":"New York","ISBN":"0-387-95364-7","call-number":"QH323.5 .B87 2002","shortTitle":"Model selection and multimodel inference","author":[{"family":"Burnham","given":"Kenneth P."},{"family":"Anderson","given":"David Raymond"}],"issued":{"date-parts":[["2002"]]}}}],"schema":"https://github.com/citation-style-language/schema/raw/master/csl-citation.json"} </w:instrText>
      </w:r>
      <w:r>
        <w:rPr>
          <w:szCs w:val="24"/>
        </w:rPr>
        <w:fldChar w:fldCharType="separate"/>
      </w:r>
      <w:r w:rsidR="00006B9A" w:rsidRPr="00006B9A">
        <w:t>[13]</w:t>
      </w:r>
      <w:r>
        <w:rPr>
          <w:szCs w:val="24"/>
        </w:rPr>
        <w:fldChar w:fldCharType="end"/>
      </w:r>
      <w:r w:rsidRPr="00517E3A">
        <w:rPr>
          <w:szCs w:val="24"/>
        </w:rPr>
        <w:t xml:space="preserve">. AICc scores for each evolutionary mode were transformed into weights, which range from zero to one </w:t>
      </w:r>
      <w:r w:rsidR="00800530">
        <w:rPr>
          <w:szCs w:val="24"/>
        </w:rPr>
        <w:t xml:space="preserve">(with higher values representing better model support) </w:t>
      </w:r>
      <w:r w:rsidRPr="00517E3A">
        <w:rPr>
          <w:szCs w:val="24"/>
        </w:rPr>
        <w:t xml:space="preserve">and sum to one across all modes, to ease interpretability. </w:t>
      </w:r>
      <w:r>
        <w:rPr>
          <w:szCs w:val="24"/>
        </w:rPr>
        <w:br/>
      </w:r>
    </w:p>
    <w:p w14:paraId="74E5B336" w14:textId="77777777" w:rsidR="005B51B1" w:rsidRDefault="005B51B1" w:rsidP="005B51B1">
      <w:pPr>
        <w:spacing w:after="200"/>
        <w:rPr>
          <w:szCs w:val="24"/>
          <w:u w:val="single"/>
        </w:rPr>
      </w:pPr>
      <w:r w:rsidRPr="009273FE">
        <w:rPr>
          <w:szCs w:val="24"/>
          <w:u w:val="single"/>
        </w:rPr>
        <w:t xml:space="preserve">Quantifying ECV </w:t>
      </w:r>
      <w:r>
        <w:rPr>
          <w:szCs w:val="24"/>
          <w:u w:val="single"/>
        </w:rPr>
        <w:t xml:space="preserve">and dating </w:t>
      </w:r>
      <w:r w:rsidRPr="009273FE">
        <w:rPr>
          <w:szCs w:val="24"/>
          <w:u w:val="single"/>
        </w:rPr>
        <w:t>error</w:t>
      </w:r>
    </w:p>
    <w:p w14:paraId="2B192231" w14:textId="06A464AD" w:rsidR="005B51B1" w:rsidRPr="00517E3A" w:rsidRDefault="005B51B1" w:rsidP="005B51B1">
      <w:pPr>
        <w:spacing w:after="200" w:line="360" w:lineRule="auto"/>
        <w:ind w:firstLine="720"/>
        <w:rPr>
          <w:szCs w:val="24"/>
        </w:rPr>
      </w:pPr>
      <w:r w:rsidRPr="00517E3A">
        <w:rPr>
          <w:szCs w:val="24"/>
        </w:rPr>
        <w:t xml:space="preserve">Fossil crania are almost never preserved in a complete, unaltered state, and different researchers </w:t>
      </w:r>
      <w:r>
        <w:rPr>
          <w:szCs w:val="24"/>
        </w:rPr>
        <w:t>have used</w:t>
      </w:r>
      <w:r w:rsidRPr="00517E3A">
        <w:rPr>
          <w:szCs w:val="24"/>
        </w:rPr>
        <w:t xml:space="preserve"> different techniques to reconstruct and measure the ECV of fragmentary or partial crania. </w:t>
      </w:r>
      <w:r>
        <w:rPr>
          <w:szCs w:val="24"/>
        </w:rPr>
        <w:t xml:space="preserve">This </w:t>
      </w:r>
      <w:r w:rsidRPr="00517E3A">
        <w:rPr>
          <w:szCs w:val="24"/>
        </w:rPr>
        <w:t>introduce</w:t>
      </w:r>
      <w:r>
        <w:rPr>
          <w:szCs w:val="24"/>
        </w:rPr>
        <w:t>s</w:t>
      </w:r>
      <w:r w:rsidRPr="00517E3A">
        <w:rPr>
          <w:szCs w:val="24"/>
        </w:rPr>
        <w:t xml:space="preserve"> noise and </w:t>
      </w:r>
      <w:r>
        <w:rPr>
          <w:szCs w:val="24"/>
        </w:rPr>
        <w:t xml:space="preserve">even </w:t>
      </w:r>
      <w:r w:rsidRPr="00517E3A">
        <w:rPr>
          <w:szCs w:val="24"/>
        </w:rPr>
        <w:t xml:space="preserve">possible bias </w:t>
      </w:r>
      <w:r>
        <w:rPr>
          <w:szCs w:val="24"/>
        </w:rPr>
        <w:t>in</w:t>
      </w:r>
      <w:r w:rsidRPr="00517E3A">
        <w:rPr>
          <w:szCs w:val="24"/>
        </w:rPr>
        <w:t xml:space="preserve">to the measurement process. To estimate this within-specimen, inter-observer error (i.e., variation in different published </w:t>
      </w:r>
      <w:r w:rsidRPr="00517E3A">
        <w:rPr>
          <w:szCs w:val="24"/>
        </w:rPr>
        <w:lastRenderedPageBreak/>
        <w:t xml:space="preserve">measurements for the same specimen), we fit a random effects (Type II) ANOVA using the lme() function in the </w:t>
      </w:r>
      <w:r w:rsidR="001A753B">
        <w:rPr>
          <w:szCs w:val="24"/>
        </w:rPr>
        <w:t>“</w:t>
      </w:r>
      <w:r w:rsidRPr="001A753B">
        <w:rPr>
          <w:szCs w:val="24"/>
        </w:rPr>
        <w:t>nlme</w:t>
      </w:r>
      <w:r w:rsidR="001A753B">
        <w:rPr>
          <w:szCs w:val="24"/>
        </w:rPr>
        <w:t>”</w:t>
      </w:r>
      <w:r>
        <w:rPr>
          <w:szCs w:val="24"/>
        </w:rPr>
        <w:t xml:space="preserve"> R package </w:t>
      </w:r>
      <w:r>
        <w:rPr>
          <w:szCs w:val="24"/>
        </w:rPr>
        <w:fldChar w:fldCharType="begin"/>
      </w:r>
      <w:r w:rsidR="00006B9A">
        <w:rPr>
          <w:szCs w:val="24"/>
        </w:rPr>
        <w:instrText xml:space="preserve"> ADDIN ZOTERO_ITEM CSL_CITATION {"citationID":"15flboeglb","properties":{"formattedCitation":"[14]","plainCitation":"[14]"},"citationItems":[{"id":883,"uris":["http://zotero.org/users/2478888/items/MIXHIU49"],"uri":["http://zotero.org/users/2478888/items/MIXHIU49"],"itemData":{"id":883,"type":"book","title":"nlme: Linear and Nonlinear Mixed Effects Models. R package version 3.1-120","version":"3.1-120","URL":"http://CRAN.R-project.org/package=nlme","author":[{"family":"Pinheiro","given":"J"},{"family":"Bates","given":"D"},{"family":"DebRoy","given":"S"},{"family":"Sarkar","given":"D"},{"literal":"R Core Team"}]}}],"schema":"https://github.com/citation-style-language/schema/raw/master/csl-citation.json"} </w:instrText>
      </w:r>
      <w:r>
        <w:rPr>
          <w:szCs w:val="24"/>
        </w:rPr>
        <w:fldChar w:fldCharType="separate"/>
      </w:r>
      <w:r w:rsidR="00006B9A" w:rsidRPr="00006B9A">
        <w:t>[14]</w:t>
      </w:r>
      <w:r>
        <w:rPr>
          <w:szCs w:val="24"/>
        </w:rPr>
        <w:fldChar w:fldCharType="end"/>
      </w:r>
      <w:r w:rsidRPr="00517E3A">
        <w:rPr>
          <w:szCs w:val="24"/>
        </w:rPr>
        <w:t xml:space="preserve"> with log</w:t>
      </w:r>
      <w:r w:rsidRPr="00517E3A">
        <w:rPr>
          <w:szCs w:val="24"/>
          <w:vertAlign w:val="subscript"/>
        </w:rPr>
        <w:t>10</w:t>
      </w:r>
      <w:r w:rsidR="00795CD9">
        <w:rPr>
          <w:szCs w:val="24"/>
        </w:rPr>
        <w:t xml:space="preserve"> ECV </w:t>
      </w:r>
      <w:r w:rsidRPr="00517E3A">
        <w:rPr>
          <w:szCs w:val="24"/>
        </w:rPr>
        <w:t>as the dependent variable in an intercept</w:t>
      </w:r>
      <w:r w:rsidR="00194ADD">
        <w:rPr>
          <w:szCs w:val="24"/>
        </w:rPr>
        <w:t>-</w:t>
      </w:r>
      <w:r w:rsidRPr="00517E3A">
        <w:rPr>
          <w:szCs w:val="24"/>
        </w:rPr>
        <w:t xml:space="preserve">only model, while specimen ID was nested within species as random effects. The varcomp() function from the </w:t>
      </w:r>
      <w:r w:rsidR="001A753B">
        <w:rPr>
          <w:szCs w:val="24"/>
        </w:rPr>
        <w:t>“</w:t>
      </w:r>
      <w:r w:rsidRPr="00517E3A">
        <w:rPr>
          <w:szCs w:val="24"/>
        </w:rPr>
        <w:t>ape</w:t>
      </w:r>
      <w:r w:rsidR="001A753B">
        <w:rPr>
          <w:szCs w:val="24"/>
        </w:rPr>
        <w:t>”</w:t>
      </w:r>
      <w:r>
        <w:rPr>
          <w:szCs w:val="24"/>
        </w:rPr>
        <w:t xml:space="preserve"> R package </w:t>
      </w:r>
      <w:r>
        <w:rPr>
          <w:szCs w:val="24"/>
        </w:rPr>
        <w:fldChar w:fldCharType="begin"/>
      </w:r>
      <w:r w:rsidR="00006B9A">
        <w:rPr>
          <w:szCs w:val="24"/>
        </w:rPr>
        <w:instrText xml:space="preserve"> ADDIN ZOTERO_ITEM CSL_CITATION {"citationID":"et9vrsaj2","properties":{"formattedCitation":"[15]","plainCitation":"[15]"},"citationItems":[{"id":1236,"uris":["http://zotero.org/users/2478888/items/VFEU554R"],"uri":["http://zotero.org/users/2478888/items/VFEU554R"],"itemData":{"id":1236,"type":"article-journal","title":"APE: analyses of phylogenetics and evolution in R language.","container-title":"Bioinformatics","page":"289-290","volume":"20","author":[{"family":"Paradis","given":"E"},{"family":"Claude","given":"J"},{"family":"Strimmer","given":"K"}],"issued":{"date-parts":[["2004"]]}}}],"schema":"https://github.com/citation-style-language/schema/raw/master/csl-citation.json"} </w:instrText>
      </w:r>
      <w:r>
        <w:rPr>
          <w:szCs w:val="24"/>
        </w:rPr>
        <w:fldChar w:fldCharType="separate"/>
      </w:r>
      <w:r w:rsidR="00006B9A" w:rsidRPr="00006B9A">
        <w:t>[15]</w:t>
      </w:r>
      <w:r>
        <w:rPr>
          <w:szCs w:val="24"/>
        </w:rPr>
        <w:fldChar w:fldCharType="end"/>
      </w:r>
      <w:r w:rsidRPr="00517E3A">
        <w:rPr>
          <w:szCs w:val="24"/>
        </w:rPr>
        <w:t xml:space="preserve"> was used to extract variance components from this model, and the within-specimen ID variance component was treated as inter-observer error. </w:t>
      </w:r>
      <w:r>
        <w:rPr>
          <w:szCs w:val="24"/>
        </w:rPr>
        <w:t>This was done using both a less speciose and a more speciose taxonomy (table S</w:t>
      </w:r>
      <w:r w:rsidR="001948FE">
        <w:rPr>
          <w:szCs w:val="24"/>
        </w:rPr>
        <w:t>1</w:t>
      </w:r>
      <w:r>
        <w:rPr>
          <w:szCs w:val="24"/>
        </w:rPr>
        <w:t xml:space="preserve">), which gave variance components of </w:t>
      </w:r>
      <w:r w:rsidRPr="00517E3A">
        <w:rPr>
          <w:szCs w:val="24"/>
        </w:rPr>
        <w:t>7.</w:t>
      </w:r>
      <w:r w:rsidR="00194ADD">
        <w:rPr>
          <w:szCs w:val="24"/>
        </w:rPr>
        <w:t>215</w:t>
      </w:r>
      <w:r w:rsidR="00194ADD" w:rsidRPr="00517E3A">
        <w:rPr>
          <w:szCs w:val="24"/>
        </w:rPr>
        <w:t xml:space="preserve"> </w:t>
      </w:r>
      <w:r w:rsidRPr="00517E3A">
        <w:rPr>
          <w:szCs w:val="24"/>
        </w:rPr>
        <w:t>x 10</w:t>
      </w:r>
      <w:r w:rsidRPr="00517E3A">
        <w:rPr>
          <w:szCs w:val="24"/>
          <w:vertAlign w:val="superscript"/>
        </w:rPr>
        <w:t>-4</w:t>
      </w:r>
      <w:r w:rsidRPr="00517E3A">
        <w:rPr>
          <w:szCs w:val="24"/>
        </w:rPr>
        <w:t xml:space="preserve"> (log</w:t>
      </w:r>
      <w:r w:rsidRPr="00517E3A">
        <w:rPr>
          <w:szCs w:val="24"/>
          <w:vertAlign w:val="subscript"/>
        </w:rPr>
        <w:t>10</w:t>
      </w:r>
      <w:r w:rsidRPr="00517E3A">
        <w:rPr>
          <w:szCs w:val="24"/>
        </w:rPr>
        <w:t>cm</w:t>
      </w:r>
      <w:r w:rsidRPr="00517E3A">
        <w:rPr>
          <w:szCs w:val="24"/>
          <w:vertAlign w:val="superscript"/>
        </w:rPr>
        <w:t>3</w:t>
      </w:r>
      <w:r w:rsidRPr="00517E3A">
        <w:rPr>
          <w:szCs w:val="24"/>
        </w:rPr>
        <w:t>)</w:t>
      </w:r>
      <w:r w:rsidRPr="00517E3A">
        <w:rPr>
          <w:szCs w:val="24"/>
          <w:vertAlign w:val="superscript"/>
        </w:rPr>
        <w:t>2</w:t>
      </w:r>
      <w:r w:rsidRPr="00517E3A">
        <w:rPr>
          <w:szCs w:val="24"/>
        </w:rPr>
        <w:t xml:space="preserve"> and 7.</w:t>
      </w:r>
      <w:r w:rsidR="00194ADD">
        <w:rPr>
          <w:szCs w:val="24"/>
        </w:rPr>
        <w:t>230</w:t>
      </w:r>
      <w:r w:rsidR="00194ADD" w:rsidRPr="00517E3A">
        <w:rPr>
          <w:szCs w:val="24"/>
        </w:rPr>
        <w:t xml:space="preserve"> </w:t>
      </w:r>
      <w:r w:rsidRPr="00517E3A">
        <w:rPr>
          <w:szCs w:val="24"/>
        </w:rPr>
        <w:t>x 10</w:t>
      </w:r>
      <w:r w:rsidRPr="00517E3A">
        <w:rPr>
          <w:szCs w:val="24"/>
          <w:vertAlign w:val="superscript"/>
        </w:rPr>
        <w:t>-4</w:t>
      </w:r>
      <w:r w:rsidRPr="00517E3A">
        <w:rPr>
          <w:szCs w:val="24"/>
        </w:rPr>
        <w:t xml:space="preserve"> (log</w:t>
      </w:r>
      <w:r w:rsidRPr="00517E3A">
        <w:rPr>
          <w:szCs w:val="24"/>
          <w:vertAlign w:val="subscript"/>
        </w:rPr>
        <w:t>10</w:t>
      </w:r>
      <w:r w:rsidRPr="00517E3A">
        <w:rPr>
          <w:szCs w:val="24"/>
        </w:rPr>
        <w:t>cm</w:t>
      </w:r>
      <w:r w:rsidRPr="00517E3A">
        <w:rPr>
          <w:szCs w:val="24"/>
          <w:vertAlign w:val="superscript"/>
        </w:rPr>
        <w:t>3</w:t>
      </w:r>
      <w:r w:rsidRPr="00517E3A">
        <w:rPr>
          <w:szCs w:val="24"/>
        </w:rPr>
        <w:t>)</w:t>
      </w:r>
      <w:r w:rsidRPr="00517E3A">
        <w:rPr>
          <w:szCs w:val="24"/>
          <w:vertAlign w:val="superscript"/>
        </w:rPr>
        <w:t>2</w:t>
      </w:r>
      <w:r>
        <w:rPr>
          <w:szCs w:val="24"/>
        </w:rPr>
        <w:t>, respectively (t</w:t>
      </w:r>
      <w:r w:rsidRPr="00517E3A">
        <w:rPr>
          <w:szCs w:val="24"/>
        </w:rPr>
        <w:t>able S</w:t>
      </w:r>
      <w:r w:rsidR="0067462E">
        <w:rPr>
          <w:szCs w:val="24"/>
        </w:rPr>
        <w:t>2</w:t>
      </w:r>
      <w:r w:rsidRPr="00517E3A">
        <w:rPr>
          <w:szCs w:val="24"/>
        </w:rPr>
        <w:t xml:space="preserve">). Though both variance components are very similar, we used the one from the </w:t>
      </w:r>
      <w:r>
        <w:rPr>
          <w:szCs w:val="24"/>
        </w:rPr>
        <w:t>more speciose</w:t>
      </w:r>
      <w:r w:rsidRPr="00517E3A">
        <w:rPr>
          <w:szCs w:val="24"/>
        </w:rPr>
        <w:t xml:space="preserve"> taxonomy since it was slightly </w:t>
      </w:r>
      <w:r>
        <w:rPr>
          <w:szCs w:val="24"/>
        </w:rPr>
        <w:t>larger</w:t>
      </w:r>
      <w:r w:rsidRPr="00517E3A">
        <w:rPr>
          <w:szCs w:val="24"/>
        </w:rPr>
        <w:t xml:space="preserve"> and therefore more conservative.</w:t>
      </w:r>
    </w:p>
    <w:p w14:paraId="7E418A23" w14:textId="77777777" w:rsidR="005B51B1" w:rsidRDefault="005B51B1" w:rsidP="005B51B1">
      <w:pPr>
        <w:spacing w:line="360" w:lineRule="auto"/>
        <w:ind w:firstLine="720"/>
        <w:rPr>
          <w:szCs w:val="24"/>
        </w:rPr>
      </w:pPr>
      <w:r w:rsidRPr="00517E3A">
        <w:rPr>
          <w:szCs w:val="24"/>
        </w:rPr>
        <w:t xml:space="preserve">To incorporate dating error into our analyses, we used a Monte Carlo framework where our analyses were iterated 1000 times to explore how variation in dating uncertainty affected the robustness of our results. </w:t>
      </w:r>
      <w:r>
        <w:rPr>
          <w:szCs w:val="24"/>
        </w:rPr>
        <w:t>In e</w:t>
      </w:r>
      <w:r w:rsidRPr="00517E3A">
        <w:rPr>
          <w:szCs w:val="24"/>
        </w:rPr>
        <w:t>ach iteration</w:t>
      </w:r>
      <w:r>
        <w:rPr>
          <w:szCs w:val="24"/>
        </w:rPr>
        <w:t>, we</w:t>
      </w:r>
      <w:r w:rsidRPr="00517E3A">
        <w:rPr>
          <w:szCs w:val="24"/>
        </w:rPr>
        <w:t xml:space="preserve"> resampled each specimen age depending on whether the error was associated with the analytical dating technique or stratigraphic uncertainty (see “Data collection”). For the former, we resampled age estimates from a normal distribution with the mean age estimate as the mean and its standard error as the standard deviation. For error due to stratigraphic uncertainty, we resampled age estimates from a uniform distribution set between the maximum and minimum recorded age estimates. Our choice of the uniform distribution is conservative because it makes no assumptions about sedimentation rates or stratigraphic placement of the fossil specimen.</w:t>
      </w:r>
    </w:p>
    <w:p w14:paraId="335D66D6" w14:textId="77777777" w:rsidR="005B51B1" w:rsidRPr="00517E3A" w:rsidRDefault="005B51B1" w:rsidP="005B51B1">
      <w:pPr>
        <w:spacing w:line="360" w:lineRule="auto"/>
        <w:ind w:firstLine="720"/>
        <w:rPr>
          <w:szCs w:val="24"/>
        </w:rPr>
      </w:pPr>
    </w:p>
    <w:p w14:paraId="213EFEFA" w14:textId="77777777" w:rsidR="005B51B1" w:rsidRPr="00E204FC" w:rsidRDefault="005B51B1" w:rsidP="005B51B1">
      <w:pPr>
        <w:widowControl w:val="0"/>
        <w:autoSpaceDE w:val="0"/>
        <w:autoSpaceDN w:val="0"/>
        <w:adjustRightInd w:val="0"/>
        <w:spacing w:line="360" w:lineRule="auto"/>
        <w:rPr>
          <w:szCs w:val="24"/>
          <w:u w:val="single"/>
        </w:rPr>
      </w:pPr>
      <w:r w:rsidRPr="00E204FC">
        <w:rPr>
          <w:szCs w:val="24"/>
          <w:u w:val="single"/>
        </w:rPr>
        <w:t>Examining clade-level evolutionary models while incorporating error</w:t>
      </w:r>
    </w:p>
    <w:p w14:paraId="08C8917E" w14:textId="21CA17F0" w:rsidR="005B51B1" w:rsidRDefault="005B51B1" w:rsidP="005B51B1">
      <w:pPr>
        <w:spacing w:after="200" w:line="360" w:lineRule="auto"/>
        <w:ind w:firstLine="720"/>
        <w:rPr>
          <w:szCs w:val="24"/>
        </w:rPr>
      </w:pPr>
      <w:r w:rsidRPr="00517E3A">
        <w:rPr>
          <w:szCs w:val="24"/>
        </w:rPr>
        <w:t>Because each specimen had between one and six published ECV estimates, we used the median estimate to characterize each specimen’s ECV (results were the same whether we used median or mean ECV; r</w:t>
      </w:r>
      <w:r w:rsidRPr="00517E3A">
        <w:rPr>
          <w:szCs w:val="24"/>
          <w:vertAlign w:val="superscript"/>
        </w:rPr>
        <w:t>2</w:t>
      </w:r>
      <w:r w:rsidRPr="00517E3A">
        <w:rPr>
          <w:szCs w:val="24"/>
        </w:rPr>
        <w:t xml:space="preserve"> = 0.999 between the two measures). Age estimates for each specimen were resampled according to </w:t>
      </w:r>
      <w:r>
        <w:rPr>
          <w:szCs w:val="24"/>
        </w:rPr>
        <w:t xml:space="preserve">their type of </w:t>
      </w:r>
      <w:r w:rsidRPr="00517E3A">
        <w:rPr>
          <w:szCs w:val="24"/>
        </w:rPr>
        <w:t xml:space="preserve">dating error (see “Quantifying ECV </w:t>
      </w:r>
      <w:r>
        <w:rPr>
          <w:szCs w:val="24"/>
        </w:rPr>
        <w:t xml:space="preserve">and dating </w:t>
      </w:r>
      <w:r w:rsidRPr="00517E3A">
        <w:rPr>
          <w:szCs w:val="24"/>
        </w:rPr>
        <w:t>error”), and specimens were then placed in 0.2 Ma bins with bin edges at 3.6 Ma, 3.4 Ma, 3.2 Ma, etc. The mean</w:t>
      </w:r>
      <w:r>
        <w:rPr>
          <w:szCs w:val="24"/>
        </w:rPr>
        <w:t xml:space="preserve"> and variance of ECV medians were</w:t>
      </w:r>
      <w:r w:rsidRPr="00517E3A">
        <w:rPr>
          <w:szCs w:val="24"/>
        </w:rPr>
        <w:t xml:space="preserve"> then calculated for each time bin. To characterize total error associated with estimating m</w:t>
      </w:r>
      <w:r>
        <w:rPr>
          <w:szCs w:val="24"/>
        </w:rPr>
        <w:t xml:space="preserve">ean ECV </w:t>
      </w:r>
      <w:r w:rsidR="00EE7AEF">
        <w:rPr>
          <w:szCs w:val="24"/>
        </w:rPr>
        <w:t xml:space="preserve">across specimens </w:t>
      </w:r>
      <w:r>
        <w:rPr>
          <w:szCs w:val="24"/>
        </w:rPr>
        <w:t>within a bin,</w:t>
      </w:r>
      <w:r w:rsidRPr="00517E3A">
        <w:rPr>
          <w:szCs w:val="24"/>
        </w:rPr>
        <w:t xml:space="preserve"> the variance estimate in each bin was divided by its respective number of specimens to </w:t>
      </w:r>
      <w:r>
        <w:rPr>
          <w:szCs w:val="24"/>
        </w:rPr>
        <w:t>get</w:t>
      </w:r>
      <w:r w:rsidRPr="00517E3A">
        <w:rPr>
          <w:szCs w:val="24"/>
        </w:rPr>
        <w:t xml:space="preserve"> sampling error</w:t>
      </w:r>
      <w:r>
        <w:rPr>
          <w:szCs w:val="24"/>
        </w:rPr>
        <w:t xml:space="preserve"> </w:t>
      </w:r>
      <w:r w:rsidRPr="00517E3A">
        <w:rPr>
          <w:szCs w:val="24"/>
        </w:rPr>
        <w:fldChar w:fldCharType="begin"/>
      </w:r>
      <w:r w:rsidR="00006B9A">
        <w:rPr>
          <w:szCs w:val="24"/>
        </w:rPr>
        <w:instrText xml:space="preserve"> ADDIN ZOTERO_ITEM CSL_CITATION {"citationID":"1j8ivip1gb","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517E3A">
        <w:rPr>
          <w:szCs w:val="24"/>
        </w:rPr>
        <w:fldChar w:fldCharType="separate"/>
      </w:r>
      <w:r w:rsidR="00006B9A" w:rsidRPr="00006B9A">
        <w:t>[3]</w:t>
      </w:r>
      <w:r w:rsidRPr="00517E3A">
        <w:rPr>
          <w:szCs w:val="24"/>
        </w:rPr>
        <w:fldChar w:fldCharType="end"/>
      </w:r>
      <w:r>
        <w:rPr>
          <w:szCs w:val="24"/>
        </w:rPr>
        <w:t xml:space="preserve">. This </w:t>
      </w:r>
      <w:r w:rsidRPr="00517E3A">
        <w:rPr>
          <w:szCs w:val="24"/>
        </w:rPr>
        <w:t xml:space="preserve">was then added </w:t>
      </w:r>
      <w:r>
        <w:rPr>
          <w:szCs w:val="24"/>
        </w:rPr>
        <w:t>to</w:t>
      </w:r>
      <w:r w:rsidRPr="00517E3A">
        <w:rPr>
          <w:szCs w:val="24"/>
        </w:rPr>
        <w:t xml:space="preserve"> the within-specimen, inter-observer error estimate calculated from the random effects ANOVA model (see “Quantifying ECV </w:t>
      </w:r>
      <w:r>
        <w:rPr>
          <w:szCs w:val="24"/>
        </w:rPr>
        <w:t xml:space="preserve">and dating </w:t>
      </w:r>
      <w:r w:rsidRPr="00517E3A">
        <w:rPr>
          <w:szCs w:val="24"/>
        </w:rPr>
        <w:t>error</w:t>
      </w:r>
      <w:r>
        <w:rPr>
          <w:szCs w:val="24"/>
        </w:rPr>
        <w:t xml:space="preserve">”). </w:t>
      </w:r>
      <w:r w:rsidRPr="00517E3A">
        <w:rPr>
          <w:szCs w:val="24"/>
        </w:rPr>
        <w:t xml:space="preserve">A Bartlett’s test </w:t>
      </w:r>
      <w:r w:rsidRPr="00517E3A">
        <w:rPr>
          <w:szCs w:val="24"/>
        </w:rPr>
        <w:lastRenderedPageBreak/>
        <w:t>confirmed that variances across all time bins were not significantly different, so the variances were pooled over all bins, increasing the precision with which population variance was estimated</w:t>
      </w:r>
      <w:r>
        <w:rPr>
          <w:szCs w:val="24"/>
        </w:rPr>
        <w:t xml:space="preserve"> </w:t>
      </w:r>
      <w:r w:rsidRPr="00517E3A">
        <w:rPr>
          <w:szCs w:val="24"/>
        </w:rPr>
        <w:fldChar w:fldCharType="begin"/>
      </w:r>
      <w:r w:rsidR="00006B9A">
        <w:rPr>
          <w:szCs w:val="24"/>
        </w:rPr>
        <w:instrText xml:space="preserve"> ADDIN ZOTERO_ITEM CSL_CITATION {"citationID":"1d524ctnan","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517E3A">
        <w:rPr>
          <w:szCs w:val="24"/>
        </w:rPr>
        <w:fldChar w:fldCharType="separate"/>
      </w:r>
      <w:r w:rsidR="00006B9A" w:rsidRPr="00006B9A">
        <w:t>[3]</w:t>
      </w:r>
      <w:r w:rsidRPr="00517E3A">
        <w:rPr>
          <w:szCs w:val="24"/>
        </w:rPr>
        <w:fldChar w:fldCharType="end"/>
      </w:r>
      <w:r w:rsidRPr="00517E3A">
        <w:rPr>
          <w:szCs w:val="24"/>
        </w:rPr>
        <w:t>. We used this process to generate the binned time series to which each evolutionary mode model was fit for a single iteration</w:t>
      </w:r>
      <w:r>
        <w:rPr>
          <w:szCs w:val="24"/>
        </w:rPr>
        <w:t xml:space="preserve"> in our analyses (e.g., fig. S1). Model selection produced six</w:t>
      </w:r>
      <w:r w:rsidRPr="00517E3A">
        <w:rPr>
          <w:szCs w:val="24"/>
        </w:rPr>
        <w:t xml:space="preserve"> AICc weight estimates</w:t>
      </w:r>
      <w:r>
        <w:rPr>
          <w:szCs w:val="24"/>
        </w:rPr>
        <w:t xml:space="preserve"> (one for each model)</w:t>
      </w:r>
      <w:r w:rsidRPr="00517E3A">
        <w:rPr>
          <w:szCs w:val="24"/>
        </w:rPr>
        <w:t>, and the process was iterated 1000 times to produce a distribution of 1000 AICc weight values f</w:t>
      </w:r>
      <w:r>
        <w:rPr>
          <w:szCs w:val="24"/>
        </w:rPr>
        <w:t>or each evolutionary mode (see f</w:t>
      </w:r>
      <w:r w:rsidRPr="00517E3A">
        <w:rPr>
          <w:szCs w:val="24"/>
        </w:rPr>
        <w:t>ig. S2 for workflow schematic).</w:t>
      </w:r>
    </w:p>
    <w:p w14:paraId="11824BFE" w14:textId="21E96B5E" w:rsidR="005B51B1" w:rsidRDefault="005B51B1" w:rsidP="005B51B1">
      <w:pPr>
        <w:spacing w:line="360" w:lineRule="auto"/>
        <w:ind w:firstLine="720"/>
        <w:rPr>
          <w:szCs w:val="24"/>
        </w:rPr>
      </w:pPr>
      <w:r>
        <w:rPr>
          <w:szCs w:val="24"/>
        </w:rPr>
        <w:t>R</w:t>
      </w:r>
      <w:r w:rsidRPr="00D83650">
        <w:rPr>
          <w:szCs w:val="24"/>
          <w:vertAlign w:val="superscript"/>
        </w:rPr>
        <w:t>2</w:t>
      </w:r>
      <w:r>
        <w:rPr>
          <w:szCs w:val="24"/>
        </w:rPr>
        <w:t xml:space="preserve"> was calculated for the best fit model (gradualism in our case) because AICc scores and AICc weights only provide a measure of </w:t>
      </w:r>
      <w:r w:rsidRPr="00D30E18">
        <w:rPr>
          <w:i/>
          <w:szCs w:val="24"/>
        </w:rPr>
        <w:t>relative</w:t>
      </w:r>
      <w:r>
        <w:rPr>
          <w:szCs w:val="24"/>
        </w:rPr>
        <w:t xml:space="preserve"> goodness of fit, whereas R</w:t>
      </w:r>
      <w:r w:rsidRPr="00D83650">
        <w:rPr>
          <w:szCs w:val="24"/>
          <w:vertAlign w:val="superscript"/>
        </w:rPr>
        <w:t>2</w:t>
      </w:r>
      <w:r>
        <w:rPr>
          <w:szCs w:val="24"/>
        </w:rPr>
        <w:t xml:space="preserve"> gives a measure of </w:t>
      </w:r>
      <w:r w:rsidRPr="00D30E18">
        <w:rPr>
          <w:i/>
          <w:szCs w:val="24"/>
        </w:rPr>
        <w:t>absolute</w:t>
      </w:r>
      <w:r>
        <w:rPr>
          <w:szCs w:val="24"/>
        </w:rPr>
        <w:t xml:space="preserve"> fit. This was done by first estimating the parameters of the gradualism model, which can be viewed as a linear model. The estimated trait mean at the start of the sequence is treated as the intercept, and the mean of the step distribution is treated as the slope. Dates for each ECV specimen are then input into the </w:t>
      </w:r>
      <w:r w:rsidR="0064051D">
        <w:rPr>
          <w:szCs w:val="24"/>
        </w:rPr>
        <w:t>model</w:t>
      </w:r>
      <w:r w:rsidR="003A6538">
        <w:rPr>
          <w:szCs w:val="24"/>
        </w:rPr>
        <w:t xml:space="preserve"> </w:t>
      </w:r>
      <w:r>
        <w:rPr>
          <w:szCs w:val="24"/>
        </w:rPr>
        <w:t>to get predicted ECVs. R</w:t>
      </w:r>
      <w:r w:rsidRPr="005739DA">
        <w:rPr>
          <w:szCs w:val="24"/>
          <w:vertAlign w:val="superscript"/>
        </w:rPr>
        <w:t>2</w:t>
      </w:r>
      <w:r>
        <w:rPr>
          <w:szCs w:val="24"/>
        </w:rPr>
        <w:t xml:space="preserve"> is then calculated as: </w:t>
      </w:r>
      <m:oMath>
        <m:r>
          <w:rPr>
            <w:rFonts w:ascii="Cambria Math" w:hAnsi="Cambria Math"/>
            <w:szCs w:val="24"/>
          </w:rPr>
          <m:t>1-</m:t>
        </m:r>
        <m:f>
          <m:fPr>
            <m:ctrlPr>
              <w:rPr>
                <w:rFonts w:ascii="Cambria Math" w:hAnsi="Cambria Math"/>
                <w:i/>
                <w:szCs w:val="24"/>
              </w:rPr>
            </m:ctrlPr>
          </m:fPr>
          <m:num>
            <m:nary>
              <m:naryPr>
                <m:chr m:val="∑"/>
                <m:limLoc m:val="undOvr"/>
                <m:subHide m:val="1"/>
                <m:supHide m:val="1"/>
                <m:ctrlPr>
                  <w:rPr>
                    <w:rFonts w:ascii="Cambria Math" w:hAnsi="Cambria Math"/>
                    <w:i/>
                    <w:szCs w:val="24"/>
                  </w:rPr>
                </m:ctrlPr>
              </m:naryPr>
              <m:sub/>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ECV</m:t>
                            </m:r>
                          </m:e>
                          <m:sub>
                            <m:r>
                              <w:rPr>
                                <w:rFonts w:ascii="Cambria Math" w:hAnsi="Cambria Math"/>
                                <w:szCs w:val="24"/>
                              </w:rPr>
                              <m:t>obs</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ECV</m:t>
                            </m:r>
                          </m:e>
                          <m:sub>
                            <m:r>
                              <w:rPr>
                                <w:rFonts w:ascii="Cambria Math" w:hAnsi="Cambria Math"/>
                                <w:szCs w:val="24"/>
                              </w:rPr>
                              <m:t>pred</m:t>
                            </m:r>
                          </m:sub>
                        </m:sSub>
                      </m:e>
                    </m:d>
                  </m:e>
                  <m:sup>
                    <m:r>
                      <w:rPr>
                        <w:rFonts w:ascii="Cambria Math" w:hAnsi="Cambria Math"/>
                        <w:szCs w:val="24"/>
                      </w:rPr>
                      <m:t>2</m:t>
                    </m:r>
                  </m:sup>
                </m:sSup>
              </m:e>
            </m:nary>
          </m:num>
          <m:den>
            <m:nary>
              <m:naryPr>
                <m:chr m:val="∑"/>
                <m:limLoc m:val="undOvr"/>
                <m:subHide m:val="1"/>
                <m:supHide m:val="1"/>
                <m:ctrlPr>
                  <w:rPr>
                    <w:rFonts w:ascii="Cambria Math" w:hAnsi="Cambria Math"/>
                    <w:i/>
                    <w:szCs w:val="24"/>
                  </w:rPr>
                </m:ctrlPr>
              </m:naryPr>
              <m:sub/>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ECV</m:t>
                            </m:r>
                          </m:e>
                          <m:sub>
                            <m:r>
                              <w:rPr>
                                <w:rFonts w:ascii="Cambria Math" w:hAnsi="Cambria Math"/>
                                <w:szCs w:val="24"/>
                              </w:rPr>
                              <m:t>obs</m:t>
                            </m:r>
                          </m:sub>
                        </m:sSub>
                        <m:r>
                          <w:rPr>
                            <w:rFonts w:ascii="Cambria Math" w:hAnsi="Cambria Math"/>
                            <w:szCs w:val="24"/>
                          </w:rPr>
                          <m:t>-</m:t>
                        </m:r>
                        <m:acc>
                          <m:accPr>
                            <m:chr m:val="̅"/>
                            <m:ctrlPr>
                              <w:rPr>
                                <w:rFonts w:ascii="Cambria Math" w:hAnsi="Cambria Math"/>
                                <w:i/>
                                <w:szCs w:val="24"/>
                              </w:rPr>
                            </m:ctrlPr>
                          </m:accPr>
                          <m:e>
                            <m:sSub>
                              <m:sSubPr>
                                <m:ctrlPr>
                                  <w:rPr>
                                    <w:rFonts w:ascii="Cambria Math" w:hAnsi="Cambria Math"/>
                                    <w:i/>
                                    <w:szCs w:val="24"/>
                                  </w:rPr>
                                </m:ctrlPr>
                              </m:sSubPr>
                              <m:e>
                                <m:r>
                                  <w:rPr>
                                    <w:rFonts w:ascii="Cambria Math" w:hAnsi="Cambria Math"/>
                                    <w:szCs w:val="24"/>
                                  </w:rPr>
                                  <m:t>ECV</m:t>
                                </m:r>
                              </m:e>
                              <m:sub>
                                <m:r>
                                  <w:rPr>
                                    <w:rFonts w:ascii="Cambria Math" w:hAnsi="Cambria Math"/>
                                    <w:szCs w:val="24"/>
                                  </w:rPr>
                                  <m:t>obs</m:t>
                                </m:r>
                              </m:sub>
                            </m:sSub>
                          </m:e>
                        </m:acc>
                      </m:e>
                    </m:d>
                  </m:e>
                  <m:sup>
                    <m:r>
                      <w:rPr>
                        <w:rFonts w:ascii="Cambria Math" w:hAnsi="Cambria Math"/>
                        <w:szCs w:val="24"/>
                      </w:rPr>
                      <m:t>2</m:t>
                    </m:r>
                  </m:sup>
                </m:sSup>
              </m:e>
            </m:nary>
          </m:den>
        </m:f>
      </m:oMath>
      <w:r>
        <w:rPr>
          <w:szCs w:val="24"/>
        </w:rPr>
        <w:t>. Dating error was incorporated by resampling dates of each ECV specimen according to the protocol outlined in “Quantifying ECV and dating error” and then repeating the R</w:t>
      </w:r>
      <w:r w:rsidRPr="005739DA">
        <w:rPr>
          <w:szCs w:val="24"/>
          <w:vertAlign w:val="superscript"/>
        </w:rPr>
        <w:t>2</w:t>
      </w:r>
      <w:r>
        <w:rPr>
          <w:szCs w:val="24"/>
        </w:rPr>
        <w:t xml:space="preserve"> calculation 1000 times. This gave a distribution 1000 R</w:t>
      </w:r>
      <w:r w:rsidRPr="005739DA">
        <w:rPr>
          <w:szCs w:val="24"/>
          <w:vertAlign w:val="superscript"/>
        </w:rPr>
        <w:t>2</w:t>
      </w:r>
      <w:r>
        <w:rPr>
          <w:szCs w:val="24"/>
        </w:rPr>
        <w:t xml:space="preserve"> values, the mean of which is the mean estimate, and the standard deviation is the standard error. </w:t>
      </w:r>
      <w:r>
        <w:rPr>
          <w:szCs w:val="24"/>
        </w:rPr>
        <w:br/>
      </w:r>
    </w:p>
    <w:p w14:paraId="4EAA121C" w14:textId="77777777" w:rsidR="005B51B1" w:rsidRPr="00F36D8B" w:rsidRDefault="005B51B1" w:rsidP="005B51B1">
      <w:pPr>
        <w:spacing w:line="360" w:lineRule="auto"/>
        <w:rPr>
          <w:szCs w:val="24"/>
          <w:u w:val="single"/>
        </w:rPr>
      </w:pPr>
      <w:r w:rsidRPr="00F36D8B">
        <w:rPr>
          <w:szCs w:val="24"/>
          <w:u w:val="single"/>
        </w:rPr>
        <w:t>Lower taxonomic level additive partitioning analyses</w:t>
      </w:r>
    </w:p>
    <w:p w14:paraId="6D8596E8" w14:textId="1B84CD3B" w:rsidR="005B51B1" w:rsidRDefault="005B51B1" w:rsidP="005B51B1">
      <w:pPr>
        <w:spacing w:line="360" w:lineRule="auto"/>
        <w:ind w:firstLine="720"/>
        <w:rPr>
          <w:szCs w:val="24"/>
        </w:rPr>
      </w:pPr>
      <w:r w:rsidRPr="00517E3A">
        <w:rPr>
          <w:szCs w:val="24"/>
        </w:rPr>
        <w:t xml:space="preserve">In order to conduct </w:t>
      </w:r>
      <w:r>
        <w:rPr>
          <w:szCs w:val="24"/>
        </w:rPr>
        <w:t>the partitioning</w:t>
      </w:r>
      <w:r w:rsidRPr="00517E3A">
        <w:rPr>
          <w:szCs w:val="24"/>
        </w:rPr>
        <w:t xml:space="preserve"> analyses, </w:t>
      </w:r>
      <w:r>
        <w:rPr>
          <w:szCs w:val="24"/>
        </w:rPr>
        <w:t xml:space="preserve">we needed to assign lineage identities to </w:t>
      </w:r>
      <w:r w:rsidRPr="00517E3A">
        <w:rPr>
          <w:szCs w:val="24"/>
        </w:rPr>
        <w:t xml:space="preserve">each species. </w:t>
      </w:r>
      <w:r>
        <w:rPr>
          <w:szCs w:val="24"/>
        </w:rPr>
        <w:t xml:space="preserve">We operationally define lineage as an evolutionary sequence of populations that temporally succeed each other and </w:t>
      </w:r>
      <w:r w:rsidR="006659B6">
        <w:rPr>
          <w:szCs w:val="24"/>
        </w:rPr>
        <w:t xml:space="preserve">therefore </w:t>
      </w:r>
      <w:r>
        <w:rPr>
          <w:szCs w:val="24"/>
        </w:rPr>
        <w:t>may consist of more than one species</w:t>
      </w:r>
      <w:r w:rsidR="0049636E">
        <w:rPr>
          <w:szCs w:val="24"/>
        </w:rPr>
        <w:t xml:space="preserve"> (in an ancestor-descendant,</w:t>
      </w:r>
      <w:r w:rsidR="006659B6">
        <w:rPr>
          <w:szCs w:val="24"/>
        </w:rPr>
        <w:t xml:space="preserve"> anagenetic sequence)</w:t>
      </w:r>
      <w:r>
        <w:rPr>
          <w:szCs w:val="24"/>
        </w:rPr>
        <w:t xml:space="preserve">. </w:t>
      </w:r>
      <w:r w:rsidRPr="00517E3A">
        <w:rPr>
          <w:szCs w:val="24"/>
        </w:rPr>
        <w:t xml:space="preserve">Because of the debate surrounding the </w:t>
      </w:r>
      <w:r>
        <w:rPr>
          <w:szCs w:val="24"/>
        </w:rPr>
        <w:t xml:space="preserve">alpha </w:t>
      </w:r>
      <w:r w:rsidRPr="00517E3A">
        <w:rPr>
          <w:szCs w:val="24"/>
        </w:rPr>
        <w:t xml:space="preserve">taxonomy </w:t>
      </w:r>
      <w:r>
        <w:rPr>
          <w:szCs w:val="24"/>
        </w:rPr>
        <w:t xml:space="preserve">and phylogenetic relationships </w:t>
      </w:r>
      <w:r w:rsidRPr="00517E3A">
        <w:rPr>
          <w:szCs w:val="24"/>
        </w:rPr>
        <w:t xml:space="preserve">of certain specimens, we </w:t>
      </w:r>
      <w:r>
        <w:rPr>
          <w:szCs w:val="24"/>
        </w:rPr>
        <w:t xml:space="preserve">adopted two extreme taxonomic schemes that occupy the endpoints of a continuum (i.e., less speciose vs. more speciose; fig. </w:t>
      </w:r>
      <w:r w:rsidR="005D5418">
        <w:rPr>
          <w:szCs w:val="24"/>
        </w:rPr>
        <w:t>S4</w:t>
      </w:r>
      <w:r>
        <w:rPr>
          <w:szCs w:val="24"/>
        </w:rPr>
        <w:t>). If additive partitioning results are consistent between these two schemes, it can be assumed that the pattern is robust and not influenced by taxonomic philosophy. It should be noted that this is not the same taxonomic dichotomy that was used for the random effects ANOVA model (table S1</w:t>
      </w:r>
      <w:r w:rsidR="00D4727A">
        <w:rPr>
          <w:szCs w:val="24"/>
        </w:rPr>
        <w:t xml:space="preserve"> &amp; S2</w:t>
      </w:r>
      <w:r>
        <w:rPr>
          <w:szCs w:val="24"/>
        </w:rPr>
        <w:t xml:space="preserve">). This was because the ANOVA analysis was only concerned </w:t>
      </w:r>
      <w:r>
        <w:rPr>
          <w:szCs w:val="24"/>
        </w:rPr>
        <w:lastRenderedPageBreak/>
        <w:t>with species designations, whereas the additive partitioning analysis is concerned with ancestor-descendant relationships</w:t>
      </w:r>
      <w:r w:rsidR="00171B09">
        <w:rPr>
          <w:szCs w:val="24"/>
        </w:rPr>
        <w:t xml:space="preserve"> as well</w:t>
      </w:r>
      <w:r>
        <w:rPr>
          <w:szCs w:val="24"/>
        </w:rPr>
        <w:t xml:space="preserve">. </w:t>
      </w:r>
    </w:p>
    <w:p w14:paraId="38FB4136" w14:textId="5428612D" w:rsidR="005B51B1" w:rsidRDefault="005B51B1" w:rsidP="005B51B1">
      <w:pPr>
        <w:spacing w:line="360" w:lineRule="auto"/>
        <w:ind w:firstLine="720"/>
        <w:rPr>
          <w:szCs w:val="24"/>
        </w:rPr>
      </w:pPr>
      <w:r>
        <w:rPr>
          <w:szCs w:val="24"/>
        </w:rPr>
        <w:t xml:space="preserve">For the less speciose taxonomy, we used three lineages: </w:t>
      </w:r>
      <w:r w:rsidR="00AD1925">
        <w:rPr>
          <w:szCs w:val="24"/>
        </w:rPr>
        <w:t>eastern</w:t>
      </w:r>
      <w:r>
        <w:rPr>
          <w:szCs w:val="24"/>
        </w:rPr>
        <w:t xml:space="preserve"> African </w:t>
      </w:r>
      <w:r w:rsidRPr="008025F6">
        <w:rPr>
          <w:i/>
          <w:szCs w:val="24"/>
        </w:rPr>
        <w:t>Australopithecus-Homo</w:t>
      </w:r>
      <w:r>
        <w:rPr>
          <w:szCs w:val="24"/>
        </w:rPr>
        <w:t xml:space="preserve">, </w:t>
      </w:r>
      <w:r w:rsidR="00AD1925">
        <w:rPr>
          <w:szCs w:val="24"/>
        </w:rPr>
        <w:t>eastern</w:t>
      </w:r>
      <w:r>
        <w:rPr>
          <w:szCs w:val="24"/>
        </w:rPr>
        <w:t xml:space="preserve"> African </w:t>
      </w:r>
      <w:r w:rsidRPr="008025F6">
        <w:rPr>
          <w:i/>
          <w:szCs w:val="24"/>
        </w:rPr>
        <w:t>Paranthropus</w:t>
      </w:r>
      <w:r>
        <w:rPr>
          <w:szCs w:val="24"/>
        </w:rPr>
        <w:t xml:space="preserve">, and South African </w:t>
      </w:r>
      <w:r w:rsidRPr="008025F6">
        <w:rPr>
          <w:i/>
          <w:szCs w:val="24"/>
        </w:rPr>
        <w:t>Australopithecus-Paranthropus</w:t>
      </w:r>
      <w:r>
        <w:rPr>
          <w:i/>
          <w:szCs w:val="24"/>
        </w:rPr>
        <w:t xml:space="preserve"> </w:t>
      </w:r>
      <w:r>
        <w:rPr>
          <w:szCs w:val="24"/>
        </w:rPr>
        <w:t xml:space="preserve">(fig. </w:t>
      </w:r>
      <w:r w:rsidR="00A60270">
        <w:rPr>
          <w:szCs w:val="24"/>
        </w:rPr>
        <w:t>S4</w:t>
      </w:r>
      <w:r>
        <w:rPr>
          <w:szCs w:val="24"/>
        </w:rPr>
        <w:t xml:space="preserve">). This taxonomy is conservative even for taxonomic philosophies that are considered to lie squarely in the “lumping” category </w:t>
      </w:r>
      <w:r>
        <w:rPr>
          <w:szCs w:val="24"/>
        </w:rPr>
        <w:fldChar w:fldCharType="begin"/>
      </w:r>
      <w:r w:rsidR="00006B9A">
        <w:rPr>
          <w:szCs w:val="24"/>
        </w:rPr>
        <w:instrText xml:space="preserve"> ADDIN ZOTERO_ITEM CSL_CITATION {"citationID":"2b4ndn160q","properties":{"formattedCitation":"[16]","plainCitation":"[16]"},"citationItems":[{"id":668,"uris":["http://zotero.org/users/2478888/items/GSU6WSP4"],"uri":["http://zotero.org/users/2478888/items/GSU6WSP4"],"itemData":{"id":668,"type":"article-journal","title":"Human Origins and Evolution: Cold Spring Harbor, Deja Vu","container-title":"Cold Spring Harbor Symposia on Quantitative Biology","page":"335-344","volume":"74","issue":"0","source":"CrossRef","DOI":"10.1101/sqb.2009.74.016","ISSN":"0091-7451, 1943-4456","shortTitle":"Human Origins and Evolution","language":"en","author":[{"family":"White","given":"T. D."}],"issued":{"date-parts":[["2009",1,1]]}}}],"schema":"https://github.com/citation-style-language/schema/raw/master/csl-citation.json"} </w:instrText>
      </w:r>
      <w:r>
        <w:rPr>
          <w:szCs w:val="24"/>
        </w:rPr>
        <w:fldChar w:fldCharType="separate"/>
      </w:r>
      <w:r w:rsidR="00006B9A" w:rsidRPr="00006B9A">
        <w:t>[16]</w:t>
      </w:r>
      <w:r>
        <w:rPr>
          <w:szCs w:val="24"/>
        </w:rPr>
        <w:fldChar w:fldCharType="end"/>
      </w:r>
      <w:r>
        <w:rPr>
          <w:szCs w:val="24"/>
        </w:rPr>
        <w:t xml:space="preserve">. We put </w:t>
      </w:r>
      <w:r>
        <w:rPr>
          <w:i/>
          <w:szCs w:val="24"/>
        </w:rPr>
        <w:t xml:space="preserve">Australopithecus afarensis </w:t>
      </w:r>
      <w:r>
        <w:rPr>
          <w:szCs w:val="24"/>
        </w:rPr>
        <w:t xml:space="preserve">specimens in the lineage leading to </w:t>
      </w:r>
      <w:r w:rsidRPr="008025F6">
        <w:rPr>
          <w:i/>
          <w:szCs w:val="24"/>
        </w:rPr>
        <w:t>Homo</w:t>
      </w:r>
      <w:r>
        <w:rPr>
          <w:szCs w:val="24"/>
        </w:rPr>
        <w:t xml:space="preserve"> instead of </w:t>
      </w:r>
      <w:r w:rsidRPr="008025F6">
        <w:rPr>
          <w:i/>
          <w:szCs w:val="24"/>
        </w:rPr>
        <w:t>Paranthropus</w:t>
      </w:r>
      <w:r>
        <w:rPr>
          <w:szCs w:val="24"/>
        </w:rPr>
        <w:t xml:space="preserve"> since it conservatively places major ECV increases within a lineage as opposed to during lineage splitting events (which is what the more speciose taxonomy is biased towards). For the more speciose taxonomy, we assigned species to lineages on the basis of morphological similarities </w:t>
      </w:r>
      <w:r w:rsidRPr="007D3343">
        <w:rPr>
          <w:i/>
          <w:szCs w:val="24"/>
        </w:rPr>
        <w:t>and</w:t>
      </w:r>
      <w:r>
        <w:rPr>
          <w:szCs w:val="24"/>
        </w:rPr>
        <w:t xml:space="preserve"> spatio-temporal coherence (similar to the paleo-deme paradigm </w:t>
      </w:r>
      <w:r>
        <w:rPr>
          <w:szCs w:val="24"/>
        </w:rPr>
        <w:fldChar w:fldCharType="begin"/>
      </w:r>
      <w:r w:rsidR="00006B9A">
        <w:rPr>
          <w:szCs w:val="24"/>
        </w:rPr>
        <w:instrText xml:space="preserve"> ADDIN ZOTERO_ITEM CSL_CITATION {"citationID":"2l3mvukjer","properties":{"formattedCitation":"[17]","plainCitation":"[17]"},"citationItems":[{"id":1262,"uris":["http://zotero.org/users/2478888/items/W4ARQNCC"],"uri":["http://zotero.org/users/2478888/items/W4ARQNCC"],"itemData":{"id":1262,"type":"article-journal","title":"Paleo-Demes, Species Clades, and Extinctions in the Pleistocene Hominin Record","container-title":"Journal of Anthropological Research","page":"191-243","volume":"55","issue":"2","source":"JSTOR","abstract":"Human evolutionary studies exist in their own right due to our own anthropocentricity, but particularly through developments within the natural sciences. The emergence of an autonomous evolutionary biology has largely engulfed human evolutionary studies. Most perspectives of earlier workers are inexplicit in regard to phylogenetic inference, taxonomic resolution, process, pattern, tempo, and other aspects of hominin evolution, and thus are archaic, irrelevant, or both. Matters of epistemology have scarcely merited explicit, critical consideration; even inference as to the best explanation (abduction) has rarely been employed, or employed consistently. Human populations, their genic structure, variability, affinities and histories are now elucidated and directly quantified through molecular biology and population genetics. Past hominin populations are increasingly composed of samples necessary and sufficient to characterize paleo-demes (p-demes) and, ultimately, species clades representative of spatio-temporally bounded entities, the nature and affinities of which are informed through functional, cladistic, and morphometrical investigation. Diverse aspects of earlier hominin habitats, distributions, adaptations, and behavioral parameters are increasingly revealed through multifaceted approaches, all within the framework of paleoanthropology and focused on fuller recovery and elucidation of the Pleistocene archaeological record. Here, some central aspects of Pleistocene hominin evolution are broadly set out from such perspectives. Controversial issues exist, of course, but overall are secondary, in view of the prevalence of normal scientific practice.","ISSN":"0091-7710","journalAbbreviation":"Journal of Anthropological Research","author":[{"family":"Howell","given":"F. Clark"}],"issued":{"date-parts":[["1999"]]}}}],"schema":"https://github.com/citation-style-language/schema/raw/master/csl-citation.json"} </w:instrText>
      </w:r>
      <w:r>
        <w:rPr>
          <w:szCs w:val="24"/>
        </w:rPr>
        <w:fldChar w:fldCharType="separate"/>
      </w:r>
      <w:r w:rsidR="00006B9A" w:rsidRPr="00006B9A">
        <w:t>[17]</w:t>
      </w:r>
      <w:r>
        <w:rPr>
          <w:szCs w:val="24"/>
        </w:rPr>
        <w:fldChar w:fldCharType="end"/>
      </w:r>
      <w:r>
        <w:rPr>
          <w:szCs w:val="24"/>
        </w:rPr>
        <w:t xml:space="preserve">, though we are interested in a higher taxonomic level: the species). Thus, OH 9, which shows affinities with Asian </w:t>
      </w:r>
      <w:r>
        <w:rPr>
          <w:i/>
          <w:szCs w:val="24"/>
        </w:rPr>
        <w:t xml:space="preserve">Homo </w:t>
      </w:r>
      <w:r w:rsidRPr="003F0286">
        <w:rPr>
          <w:i/>
          <w:szCs w:val="24"/>
        </w:rPr>
        <w:t>erectus</w:t>
      </w:r>
      <w:r>
        <w:rPr>
          <w:szCs w:val="24"/>
        </w:rPr>
        <w:t xml:space="preserve">, is placed into </w:t>
      </w:r>
      <w:r>
        <w:rPr>
          <w:i/>
          <w:szCs w:val="24"/>
        </w:rPr>
        <w:t>Homo ergaster</w:t>
      </w:r>
      <w:r>
        <w:rPr>
          <w:szCs w:val="24"/>
        </w:rPr>
        <w:t xml:space="preserve"> due to its location in </w:t>
      </w:r>
      <w:r w:rsidR="004E44A4">
        <w:rPr>
          <w:szCs w:val="24"/>
        </w:rPr>
        <w:t>eastern</w:t>
      </w:r>
      <w:r>
        <w:rPr>
          <w:szCs w:val="24"/>
        </w:rPr>
        <w:t xml:space="preserve"> Africa. </w:t>
      </w:r>
      <w:r w:rsidRPr="003F0286">
        <w:rPr>
          <w:szCs w:val="24"/>
        </w:rPr>
        <w:t>No</w:t>
      </w:r>
      <w:r>
        <w:rPr>
          <w:szCs w:val="24"/>
        </w:rPr>
        <w:t xml:space="preserve"> speciation or major morphological change is assumed to happen within lineages except for the </w:t>
      </w:r>
      <w:r w:rsidR="00553D6E">
        <w:rPr>
          <w:szCs w:val="24"/>
        </w:rPr>
        <w:t>eastern</w:t>
      </w:r>
      <w:r>
        <w:rPr>
          <w:szCs w:val="24"/>
        </w:rPr>
        <w:t xml:space="preserve"> African </w:t>
      </w:r>
      <w:r>
        <w:rPr>
          <w:i/>
          <w:szCs w:val="24"/>
        </w:rPr>
        <w:t xml:space="preserve">Paranthropus </w:t>
      </w:r>
      <w:r>
        <w:rPr>
          <w:szCs w:val="24"/>
        </w:rPr>
        <w:t xml:space="preserve">lineage. </w:t>
      </w:r>
      <w:r w:rsidRPr="00F4158E">
        <w:rPr>
          <w:i/>
          <w:szCs w:val="24"/>
        </w:rPr>
        <w:t>P</w:t>
      </w:r>
      <w:r>
        <w:rPr>
          <w:i/>
          <w:szCs w:val="24"/>
        </w:rPr>
        <w:t>aranthropus</w:t>
      </w:r>
      <w:r w:rsidRPr="00F4158E">
        <w:rPr>
          <w:i/>
          <w:szCs w:val="24"/>
        </w:rPr>
        <w:t xml:space="preserve"> aethiopicus </w:t>
      </w:r>
      <w:r>
        <w:rPr>
          <w:szCs w:val="24"/>
        </w:rPr>
        <w:t xml:space="preserve">and </w:t>
      </w:r>
      <w:r w:rsidRPr="00F4158E">
        <w:rPr>
          <w:i/>
          <w:szCs w:val="24"/>
        </w:rPr>
        <w:t>P</w:t>
      </w:r>
      <w:r>
        <w:rPr>
          <w:i/>
          <w:szCs w:val="24"/>
        </w:rPr>
        <w:t>aranthropus</w:t>
      </w:r>
      <w:r w:rsidRPr="00F4158E">
        <w:rPr>
          <w:i/>
          <w:szCs w:val="24"/>
        </w:rPr>
        <w:t xml:space="preserve"> boisei</w:t>
      </w:r>
      <w:r>
        <w:rPr>
          <w:szCs w:val="24"/>
        </w:rPr>
        <w:t xml:space="preserve"> were included in the same anagenetic lineage because even the most ardent splitters acknowledge the plausibility of an ancestor-descendant relationship between these two species </w:t>
      </w:r>
      <w:r>
        <w:rPr>
          <w:szCs w:val="24"/>
        </w:rPr>
        <w:fldChar w:fldCharType="begin"/>
      </w:r>
      <w:r w:rsidR="00006B9A">
        <w:rPr>
          <w:szCs w:val="24"/>
        </w:rPr>
        <w:instrText xml:space="preserve"> ADDIN ZOTERO_ITEM CSL_CITATION {"citationID":"26ll4b792l","properties":{"formattedCitation":"[18]","plainCitation":"[18]"},"citationItems":[{"id":1261,"uris":["http://zotero.org/users/2478888/items/W4A3GXAA"],"uri":["http://zotero.org/users/2478888/items/W4A3GXAA"],"itemData":{"id":1261,"type":"chapter","title":"Macroevolution in and Around the Hominin Clade","container-title":"Macroevolution","collection-title":"Interdisciplinary Evolution Research","collection-number":"2","publisher":"Springer International Publishing","page":"345-376","source":"link.springer.com","abstract":"In this review, we discuss the criteria for recognizing species and genera within the fossil record in general, and within the hominin clade in particular. We review the grade concept, suggest how taxa within the hominin clade can be divided into grades, and define the grade categories. We discuss the difficulties with studying macroevolution in the hominin clade but suggest that at least one trait, brain size, may provide insight into the tempo and mode of evolution. We also review evidence suggesting that stasis is the dominant signal in two early hominin taxa that have substantial and well-dated fossil records. We discuss the role of evolutionary forces in forming macroevolutionary patterns and find that while natural selection appears to be the dominant force, some well-known interspecific and intraspecific differences in hominins may have been the result of random genetic drift. Lastly, we suggest that homoplasy makes generating reliable hypotheses about relationships among early hominins more difficult than most researchers are willing to admit.","URL":"http://link.springer.com/chapter/10.1007/978-3-319-15045-1_11","ISBN":"978-3-319-15044-4","note":"DOI: 10.1007/978-3-319-15045-1_11","language":"en","author":[{"family":"Wood","given":"Bernard"},{"family":"Grabowski","given":"Mark"}],"editor":[{"family":"Serrelli","given":"Emanuele"},{"family":"Gontier","given":"Nathalie"}],"issued":{"date-parts":[["2015"]]},"accessed":{"date-parts":[["2016",3,14]]}}}],"schema":"https://github.com/citation-style-language/schema/raw/master/csl-citation.json"} </w:instrText>
      </w:r>
      <w:r>
        <w:rPr>
          <w:szCs w:val="24"/>
        </w:rPr>
        <w:fldChar w:fldCharType="separate"/>
      </w:r>
      <w:r w:rsidR="00006B9A" w:rsidRPr="00006B9A">
        <w:t>[18]</w:t>
      </w:r>
      <w:r>
        <w:rPr>
          <w:szCs w:val="24"/>
        </w:rPr>
        <w:fldChar w:fldCharType="end"/>
      </w:r>
      <w:r>
        <w:rPr>
          <w:szCs w:val="24"/>
        </w:rPr>
        <w:t xml:space="preserve">. This resulted in a total of eight lineages: </w:t>
      </w:r>
      <w:r>
        <w:rPr>
          <w:i/>
          <w:szCs w:val="24"/>
        </w:rPr>
        <w:t>Au.</w:t>
      </w:r>
      <w:r w:rsidRPr="0012013D">
        <w:rPr>
          <w:i/>
          <w:szCs w:val="24"/>
        </w:rPr>
        <w:t xml:space="preserve"> afarensis</w:t>
      </w:r>
      <w:r>
        <w:rPr>
          <w:szCs w:val="24"/>
        </w:rPr>
        <w:t xml:space="preserve">, </w:t>
      </w:r>
      <w:r w:rsidRPr="0012013D">
        <w:rPr>
          <w:i/>
          <w:szCs w:val="24"/>
        </w:rPr>
        <w:t>Australopithecus africanus</w:t>
      </w:r>
      <w:r>
        <w:rPr>
          <w:szCs w:val="24"/>
        </w:rPr>
        <w:t xml:space="preserve">, </w:t>
      </w:r>
      <w:r>
        <w:rPr>
          <w:i/>
          <w:szCs w:val="24"/>
        </w:rPr>
        <w:t xml:space="preserve">P. </w:t>
      </w:r>
      <w:r w:rsidRPr="0012013D">
        <w:rPr>
          <w:i/>
          <w:szCs w:val="24"/>
        </w:rPr>
        <w:t>aethiopicus-</w:t>
      </w:r>
      <w:r>
        <w:rPr>
          <w:i/>
          <w:szCs w:val="24"/>
        </w:rPr>
        <w:t>P.</w:t>
      </w:r>
      <w:r w:rsidRPr="0012013D">
        <w:rPr>
          <w:i/>
          <w:szCs w:val="24"/>
        </w:rPr>
        <w:t xml:space="preserve"> boisei</w:t>
      </w:r>
      <w:r>
        <w:rPr>
          <w:szCs w:val="24"/>
        </w:rPr>
        <w:t xml:space="preserve">, </w:t>
      </w:r>
      <w:r w:rsidRPr="0012013D">
        <w:rPr>
          <w:i/>
          <w:szCs w:val="24"/>
        </w:rPr>
        <w:t>Paranthropus robustus</w:t>
      </w:r>
      <w:r>
        <w:rPr>
          <w:szCs w:val="24"/>
        </w:rPr>
        <w:t xml:space="preserve">, early </w:t>
      </w:r>
      <w:r w:rsidRPr="0012013D">
        <w:rPr>
          <w:i/>
          <w:szCs w:val="24"/>
        </w:rPr>
        <w:t>Homo</w:t>
      </w:r>
      <w:r>
        <w:rPr>
          <w:szCs w:val="24"/>
        </w:rPr>
        <w:t xml:space="preserve"> (which includes </w:t>
      </w:r>
      <w:r w:rsidRPr="0012013D">
        <w:rPr>
          <w:i/>
          <w:szCs w:val="24"/>
        </w:rPr>
        <w:t>Homo habilis sensu stricto</w:t>
      </w:r>
      <w:r>
        <w:rPr>
          <w:szCs w:val="24"/>
        </w:rPr>
        <w:t xml:space="preserve"> and </w:t>
      </w:r>
      <w:r w:rsidRPr="0012013D">
        <w:rPr>
          <w:i/>
          <w:szCs w:val="24"/>
        </w:rPr>
        <w:t>Homo rudolfensis</w:t>
      </w:r>
      <w:r>
        <w:rPr>
          <w:szCs w:val="24"/>
        </w:rPr>
        <w:t xml:space="preserve">), </w:t>
      </w:r>
      <w:r>
        <w:rPr>
          <w:i/>
          <w:szCs w:val="24"/>
        </w:rPr>
        <w:t>H.</w:t>
      </w:r>
      <w:r w:rsidRPr="0012013D">
        <w:rPr>
          <w:i/>
          <w:szCs w:val="24"/>
        </w:rPr>
        <w:t xml:space="preserve"> ergaster</w:t>
      </w:r>
      <w:r>
        <w:rPr>
          <w:szCs w:val="24"/>
        </w:rPr>
        <w:t xml:space="preserve">, </w:t>
      </w:r>
      <w:r w:rsidRPr="0012013D">
        <w:rPr>
          <w:i/>
          <w:szCs w:val="24"/>
        </w:rPr>
        <w:t>H</w:t>
      </w:r>
      <w:r>
        <w:rPr>
          <w:i/>
          <w:szCs w:val="24"/>
        </w:rPr>
        <w:t>.</w:t>
      </w:r>
      <w:r w:rsidRPr="0012013D">
        <w:rPr>
          <w:i/>
          <w:szCs w:val="24"/>
        </w:rPr>
        <w:t xml:space="preserve"> erectus sensu stricto</w:t>
      </w:r>
      <w:r>
        <w:rPr>
          <w:szCs w:val="24"/>
        </w:rPr>
        <w:t xml:space="preserve">, and </w:t>
      </w:r>
      <w:r w:rsidRPr="0012013D">
        <w:rPr>
          <w:i/>
          <w:szCs w:val="24"/>
        </w:rPr>
        <w:t xml:space="preserve">Homo </w:t>
      </w:r>
      <w:r w:rsidRPr="003F0286">
        <w:rPr>
          <w:i/>
          <w:szCs w:val="24"/>
        </w:rPr>
        <w:t>heidelbergensis</w:t>
      </w:r>
      <w:r>
        <w:rPr>
          <w:i/>
          <w:szCs w:val="24"/>
        </w:rPr>
        <w:t xml:space="preserve"> </w:t>
      </w:r>
      <w:r>
        <w:rPr>
          <w:szCs w:val="24"/>
        </w:rPr>
        <w:t xml:space="preserve">(fig. </w:t>
      </w:r>
      <w:r w:rsidR="00263D61">
        <w:rPr>
          <w:szCs w:val="24"/>
        </w:rPr>
        <w:t>S4</w:t>
      </w:r>
      <w:r>
        <w:rPr>
          <w:szCs w:val="24"/>
        </w:rPr>
        <w:t xml:space="preserve">). </w:t>
      </w:r>
      <w:r w:rsidRPr="003F0286">
        <w:rPr>
          <w:szCs w:val="24"/>
        </w:rPr>
        <w:t>Details</w:t>
      </w:r>
      <w:r>
        <w:rPr>
          <w:szCs w:val="24"/>
        </w:rPr>
        <w:t xml:space="preserve"> for which specimen was assigned to which lineage in both taxonomic schemes can be seen in the </w:t>
      </w:r>
      <w:r w:rsidR="00F7024C">
        <w:rPr>
          <w:szCs w:val="24"/>
        </w:rPr>
        <w:t>actual</w:t>
      </w:r>
      <w:r>
        <w:rPr>
          <w:szCs w:val="24"/>
        </w:rPr>
        <w:t xml:space="preserve"> dataset. </w:t>
      </w:r>
    </w:p>
    <w:p w14:paraId="1A018312" w14:textId="0CF67085" w:rsidR="005B51B1" w:rsidRDefault="005B51B1" w:rsidP="005B51B1">
      <w:pPr>
        <w:spacing w:line="360" w:lineRule="auto"/>
        <w:ind w:firstLine="720"/>
        <w:rPr>
          <w:szCs w:val="24"/>
        </w:rPr>
      </w:pPr>
      <w:r>
        <w:rPr>
          <w:szCs w:val="24"/>
        </w:rPr>
        <w:t xml:space="preserve">Previous studies have shown that clade-level changes in morphology (i.e., differences between adjacent bins) can be additively partitioned into anagenetic, origination, and extinction components that together account for the entirety of change observed at the broader clade level </w:t>
      </w:r>
      <w:r>
        <w:rPr>
          <w:szCs w:val="24"/>
        </w:rPr>
        <w:fldChar w:fldCharType="begin"/>
      </w:r>
      <w:r w:rsidR="00AF0AC0">
        <w:rPr>
          <w:szCs w:val="24"/>
        </w:rPr>
        <w:instrText xml:space="preserve"> ADDIN ZOTERO_ITEM CSL_CITATION {"citationID":"2pXme681","properties":{"formattedCitation":"[19,20]","plainCitation":"[19,20]"},"citationItems":[{"id":347,"uris":["http://zotero.org/users/2478888/items/A28GXNFI"],"uri":["http://zotero.org/users/2478888/items/A28GXNFI"],"itemData":{"id":347,"type":"article-journal","title":"Within- and among-genus components of size evolution during mass extinction, recovery, and background intervals: a case study of Late Permian through Late Triassic foraminifera","container-title":"Paleobiology","page":"627–643","volume":"38","issue":"04","source":"Cambridge Journals Online","abstract":"One of the best-recognized patterns in the evolution of organismal size is the tendency for mean and maximum size within a clade to decrease following a major extinction event and to increase during the subsequent recovery interval. Because larger organisms are typically thought to be at higher extinction risk than their smaller relatives, it has commonly been assumed that size reduction mostly reflects the selective extinction of larger species. However, to our knowledge the relative importance of within- and among-lineage processes in driving overall trends in body size has never been compared quantitatively. In this study, we use a global, specimen-level database of foraminifera to study size evolution from the Late Permian through Late Triassic. We explicitly decompose size evolution into within- and among-genus components. We find that size reduction following the end-Permian mass extinction was driven more by size reduction within surviving species and genera than by the selective extinction of larger taxa. Similarly, we find that increase in mean size across taxa during Early Triassic biotic recovery was a product primarily of size increase within survivors and the extinction of unusually small taxa, rather than the origination of new, larger taxa. During background intervals we find no strong or consistent tendency for extinction, origination, or within-lineage change to move the overall size distribution toward larger or smaller sizes. Thus, size stasis during background intervals appears to result from small and inconsistent effects of within- and among-lineage processes rather than from large but offsetting effects of within- and among-taxon components. These observations are compatible with existing data for other taxa and extinction events, implying that mass extinctions do not influence size evolution by simply selecting against larger organisms. Instead, they appear to create conditions favorable to smaller organisms.","DOI":"10.1666/11040.1","ISSN":"1938-5331","shortTitle":"Within- and among-genus components of size evolution during mass extinction, recovery, and background intervals","author":[{"family":"Rego","given":"Brianna L."},{"family":"Wang","given":"Steve C."},{"family":"Altiner","given":"Demir"},{"family":"Payne","given":"Jonathan L."}],"issued":{"date-parts":[["2012",9]]}}},{"id":953,"uris":["http://zotero.org/users/2478888/items/P3PFQ2ZD"],"uri":["http://zotero.org/users/2478888/items/P3PFQ2ZD"],"itemData":{"id":953,"type":"article-journal","title":"Species selection and the macroevolution of coral coloniality and photosymbiosis","container-title":"Evolution","page":"1607-1621","volume":"67","issue":"6","source":"CrossRef","DOI":"10.1111/evo.12083","ISSN":"00143820","language":"en","author":[{"family":"Simpson","given":"Carl"}],"issued":{"date-parts":[["2013",6]]}}}],"schema":"https://github.com/citation-style-language/schema/raw/master/csl-citation.json"} </w:instrText>
      </w:r>
      <w:r>
        <w:rPr>
          <w:szCs w:val="24"/>
        </w:rPr>
        <w:fldChar w:fldCharType="separate"/>
      </w:r>
      <w:r w:rsidR="00AF0AC0" w:rsidRPr="00AF0AC0">
        <w:t>[19,20]</w:t>
      </w:r>
      <w:r>
        <w:rPr>
          <w:szCs w:val="24"/>
        </w:rPr>
        <w:fldChar w:fldCharType="end"/>
      </w:r>
      <w:r>
        <w:rPr>
          <w:szCs w:val="24"/>
        </w:rPr>
        <w:t xml:space="preserve">. Origination is defined as a branching event after which the parent and daughter lineages coexist, and extinction is defined as the termination of a lineage. To do this, we first created 0.3 Ma bins with boundaries at 3.35, 3.05, 2.75, etc. until 0.95 Ma. This binning scheme was a compromise between getting the smallest bin size possible while eliminating any gaps within lineages. To best illustrate the partitioning method </w:t>
      </w:r>
      <w:r>
        <w:rPr>
          <w:szCs w:val="24"/>
        </w:rPr>
        <w:fldChar w:fldCharType="begin"/>
      </w:r>
      <w:r w:rsidR="00006B9A">
        <w:rPr>
          <w:szCs w:val="24"/>
        </w:rPr>
        <w:instrText xml:space="preserve"> ADDIN ZOTERO_ITEM CSL_CITATION {"citationID":"277f3nnc50","properties":{"formattedCitation":"[19]","plainCitation":"[19]"},"citationItems":[{"id":347,"uris":["http://zotero.org/users/2478888/items/A28GXNFI"],"uri":["http://zotero.org/users/2478888/items/A28GXNFI"],"itemData":{"id":347,"type":"article-journal","title":"Within- and among-genus components of size evolution during mass extinction, recovery, and background intervals: a case study of Late Permian through Late Triassic foraminifera","container-title":"Paleobiology","page":"627–643","volume":"38","issue":"04","source":"Cambridge Journals Online","abstract":"One of the best-recognized patterns in the evolution of organismal size is the tendency for mean and maximum size within a clade to decrease following a major extinction event and to increase during the subsequent recovery interval. Because larger organisms are typically thought to be at higher extinction risk than their smaller relatives, it has commonly been assumed that size reduction mostly reflects the selective extinction of larger species. However, to our knowledge the relative importance of within- and among-lineage processes in driving overall trends in body size has never been compared quantitatively. In this study, we use a global, specimen-level database of foraminifera to study size evolution from the Late Permian through Late Triassic. We explicitly decompose size evolution into within- and among-genus components. We find that size reduction following the end-Permian mass extinction was driven more by size reduction within surviving species and genera than by the selective extinction of larger taxa. Similarly, we find that increase in mean size across taxa during Early Triassic biotic recovery was a product primarily of size increase within survivors and the extinction of unusually small taxa, rather than the origination of new, larger taxa. During background intervals we find no strong or consistent tendency for extinction, origination, or within-lineage change to move the overall size distribution toward larger or smaller sizes. Thus, size stasis during background intervals appears to result from small and inconsistent effects of within- and among-lineage processes rather than from large but offsetting effects of within- and among-taxon components. These observations are compatible with existing data for other taxa and extinction events, implying that mass extinctions do not influence size evolution by simply selecting against larger organisms. Instead, they appear to create conditions favorable to smaller organisms.","DOI":"10.1666/11040.1","ISSN":"1938-5331","shortTitle":"Within- and among-genus components of size evolution during mass extinction, recovery, and background intervals","author":[{"family":"Rego","given":"Brianna L."},{"family":"Wang","given":"Steve C."},{"family":"Altiner","given":"Demir"},{"family":"Payne","given":"Jonathan L."}],"issued":{"date-parts":[["2012",9]]}}}],"schema":"https://github.com/citation-style-language/schema/raw/master/csl-citation.json"} </w:instrText>
      </w:r>
      <w:r>
        <w:rPr>
          <w:szCs w:val="24"/>
        </w:rPr>
        <w:fldChar w:fldCharType="separate"/>
      </w:r>
      <w:r w:rsidR="00006B9A" w:rsidRPr="00006B9A">
        <w:t>[19]</w:t>
      </w:r>
      <w:r>
        <w:rPr>
          <w:szCs w:val="24"/>
        </w:rPr>
        <w:fldChar w:fldCharType="end"/>
      </w:r>
      <w:r>
        <w:rPr>
          <w:szCs w:val="24"/>
        </w:rPr>
        <w:t xml:space="preserve">, we show here how the anagenetic, origination, and extinction components are calculated between two time bins as an example, </w:t>
      </w:r>
      <w:r>
        <w:rPr>
          <w:szCs w:val="24"/>
        </w:rPr>
        <w:lastRenderedPageBreak/>
        <w:t xml:space="preserve">though these partitions are determined for all between-bin differences within a given time series. The anagenetic component is calculated by first noting which lineages survive between the two bins in question. Let us name all specimen ECVs belonging to these lineages in the earlier time bin as “survivor-earlier” and those belonging to the later time bin as “survivor-later.” The anagenetic component is simply calculated as </w:t>
      </w:r>
      <w:r w:rsidR="00D03F4E">
        <w:rPr>
          <w:szCs w:val="24"/>
        </w:rPr>
        <w:t xml:space="preserve">mean </w:t>
      </w:r>
      <w:r>
        <w:rPr>
          <w:szCs w:val="24"/>
        </w:rPr>
        <w:t xml:space="preserve">“survivor-later” minus </w:t>
      </w:r>
      <w:r w:rsidR="00D03F4E">
        <w:rPr>
          <w:szCs w:val="24"/>
        </w:rPr>
        <w:t xml:space="preserve">mean </w:t>
      </w:r>
      <w:r>
        <w:rPr>
          <w:szCs w:val="24"/>
        </w:rPr>
        <w:t xml:space="preserve">“survivor-earlier.” The origination component is determined by subtracting </w:t>
      </w:r>
      <w:r w:rsidR="00D03F4E">
        <w:rPr>
          <w:szCs w:val="24"/>
        </w:rPr>
        <w:t xml:space="preserve">mean </w:t>
      </w:r>
      <w:r>
        <w:rPr>
          <w:szCs w:val="24"/>
        </w:rPr>
        <w:t xml:space="preserve">“survivor-later” from the mean of </w:t>
      </w:r>
      <w:r w:rsidRPr="005C7FA7">
        <w:rPr>
          <w:i/>
          <w:szCs w:val="24"/>
        </w:rPr>
        <w:t>all</w:t>
      </w:r>
      <w:r>
        <w:rPr>
          <w:szCs w:val="24"/>
        </w:rPr>
        <w:t xml:space="preserve"> ECVs in the later time period. The extinction component is calculated as </w:t>
      </w:r>
      <w:r w:rsidR="00D03F4E">
        <w:rPr>
          <w:szCs w:val="24"/>
        </w:rPr>
        <w:t xml:space="preserve">mean </w:t>
      </w:r>
      <w:r>
        <w:rPr>
          <w:szCs w:val="24"/>
        </w:rPr>
        <w:t xml:space="preserve">“survivor-earlier” minus the mean of </w:t>
      </w:r>
      <w:r>
        <w:rPr>
          <w:i/>
          <w:szCs w:val="24"/>
        </w:rPr>
        <w:t xml:space="preserve">all </w:t>
      </w:r>
      <w:r>
        <w:rPr>
          <w:szCs w:val="24"/>
        </w:rPr>
        <w:t xml:space="preserve">ECVs in the earlier time period. We should note that origination and extinction in this case refer respectively to observed first and last appearances of species’ ECVs and may not represent a species’ true age of origination and extinction </w:t>
      </w:r>
      <w:r>
        <w:rPr>
          <w:szCs w:val="24"/>
        </w:rPr>
        <w:fldChar w:fldCharType="begin"/>
      </w:r>
      <w:r w:rsidR="00006B9A">
        <w:rPr>
          <w:szCs w:val="24"/>
        </w:rPr>
        <w:instrText xml:space="preserve"> ADDIN ZOTERO_ITEM CSL_CITATION {"citationID":"21j8ueka9i","properties":{"formattedCitation":"[21]","plainCitation":"[21]"},"citationItems":[{"id":740,"uris":["http://zotero.org/users/2478888/items/I9ITIT9U"],"uri":["http://zotero.org/users/2478888/items/I9ITIT9U"],"itemData":{"id":740,"type":"article-journal","title":"Estimating times of extinction in the fossil record: Table 1.","container-title":"Biology Letters","page":"20150989","volume":"12","issue":"4","source":"CrossRef","DOI":"10.1098/rsbl.2015.0989","ISSN":"1744-9561, 1744-957X","shortTitle":"Estimating times of extinction in the fossil record","language":"en","author":[{"family":"Wang","given":"Steve C."},{"family":"Marshall","given":"Charles R."}],"issued":{"date-parts":[["2016",4]]}}}],"schema":"https://github.com/citation-style-language/schema/raw/master/csl-citation.json"} </w:instrText>
      </w:r>
      <w:r>
        <w:rPr>
          <w:szCs w:val="24"/>
        </w:rPr>
        <w:fldChar w:fldCharType="separate"/>
      </w:r>
      <w:r w:rsidR="00006B9A" w:rsidRPr="00006B9A">
        <w:t>[21]</w:t>
      </w:r>
      <w:r>
        <w:rPr>
          <w:szCs w:val="24"/>
        </w:rPr>
        <w:fldChar w:fldCharType="end"/>
      </w:r>
      <w:r>
        <w:rPr>
          <w:szCs w:val="24"/>
        </w:rPr>
        <w:t xml:space="preserve">. Therefore, we use the phrases “first appearances” and “last appearances” to refer to clade-level change that is driven by the observed appearances and disappearances of ECVs within a given lineage. </w:t>
      </w:r>
      <w:r w:rsidRPr="00F57EE5">
        <w:rPr>
          <w:szCs w:val="24"/>
        </w:rPr>
        <w:t>Clade</w:t>
      </w:r>
      <w:r>
        <w:rPr>
          <w:szCs w:val="24"/>
        </w:rPr>
        <w:t>-level changes between time bins with no through-ranging lineages cannot be partitioned into separate first or last appearances components and are labeled as “First/last appearances” in our figures. The sum of the anagenetic and first and last appearances components between any two adjacent bins is equal to the mean clade-level change between those same bins. This entire procedure was repeated twice using the less speciose and then the more speciose taxonomy. We suggest that patterns seen in both taxonomic schemes reflect signals that are robust to taxonomic designation.</w:t>
      </w:r>
      <w:r>
        <w:rPr>
          <w:szCs w:val="24"/>
        </w:rPr>
        <w:br/>
      </w:r>
    </w:p>
    <w:p w14:paraId="470E03D5" w14:textId="77777777" w:rsidR="005B51B1" w:rsidRPr="000055F1" w:rsidRDefault="005B51B1" w:rsidP="005B51B1">
      <w:pPr>
        <w:spacing w:line="360" w:lineRule="auto"/>
        <w:rPr>
          <w:szCs w:val="24"/>
          <w:u w:val="single"/>
        </w:rPr>
      </w:pPr>
      <w:r w:rsidRPr="000055F1">
        <w:rPr>
          <w:szCs w:val="24"/>
          <w:u w:val="single"/>
        </w:rPr>
        <w:t>Sensitivity analyses</w:t>
      </w:r>
    </w:p>
    <w:p w14:paraId="7FB5E85A" w14:textId="23D4420F" w:rsidR="005B51B1" w:rsidRDefault="005B51B1" w:rsidP="005B51B1">
      <w:pPr>
        <w:spacing w:line="360" w:lineRule="auto"/>
        <w:ind w:firstLine="720"/>
        <w:rPr>
          <w:szCs w:val="24"/>
        </w:rPr>
      </w:pPr>
      <w:r w:rsidRPr="00517E3A">
        <w:rPr>
          <w:szCs w:val="24"/>
        </w:rPr>
        <w:t xml:space="preserve">To test how robust our </w:t>
      </w:r>
      <w:r>
        <w:rPr>
          <w:szCs w:val="24"/>
        </w:rPr>
        <w:t xml:space="preserve">clade-level </w:t>
      </w:r>
      <w:r w:rsidRPr="00517E3A">
        <w:rPr>
          <w:szCs w:val="24"/>
        </w:rPr>
        <w:t xml:space="preserve">analyses were, we conducted a series of sensitivity analyses on </w:t>
      </w:r>
      <w:r>
        <w:rPr>
          <w:szCs w:val="24"/>
        </w:rPr>
        <w:t>our clade-level</w:t>
      </w:r>
      <w:r w:rsidRPr="00517E3A">
        <w:rPr>
          <w:szCs w:val="24"/>
        </w:rPr>
        <w:t xml:space="preserve"> evolutionary modes analysis. We first tested if the location of bin edges influenced our results by running the same analysis as above but repeating it multiple times by shifting our bin edges +0 Ma, +0.02 Ma, +0.04 Ma, +0.06 Ma, and so on all the way up to +0.18 Ma</w:t>
      </w:r>
      <w:r>
        <w:rPr>
          <w:szCs w:val="24"/>
        </w:rPr>
        <w:t xml:space="preserve"> (fig. S5a)</w:t>
      </w:r>
      <w:r w:rsidRPr="00517E3A">
        <w:rPr>
          <w:szCs w:val="24"/>
        </w:rPr>
        <w:t>. We tested for the influence of bin size by re-running our analyses using bin sizes of 0.10 Ma, 0.15 Ma, 0.20 Ma, 0.25 Ma, and so on all the way up to 0.5</w:t>
      </w:r>
      <w:r>
        <w:rPr>
          <w:szCs w:val="24"/>
        </w:rPr>
        <w:t>0</w:t>
      </w:r>
      <w:r w:rsidRPr="00517E3A">
        <w:rPr>
          <w:szCs w:val="24"/>
        </w:rPr>
        <w:t xml:space="preserve"> Ma</w:t>
      </w:r>
      <w:r>
        <w:rPr>
          <w:szCs w:val="24"/>
        </w:rPr>
        <w:t xml:space="preserve"> (fig. S5b)</w:t>
      </w:r>
      <w:r w:rsidRPr="00517E3A">
        <w:rPr>
          <w:szCs w:val="24"/>
        </w:rPr>
        <w:t xml:space="preserve">. </w:t>
      </w:r>
    </w:p>
    <w:p w14:paraId="0D8ACF22" w14:textId="38E2C63C" w:rsidR="005B51B1" w:rsidRDefault="005B51B1" w:rsidP="008C4B2D">
      <w:pPr>
        <w:spacing w:after="200" w:line="360" w:lineRule="auto"/>
        <w:ind w:firstLine="720"/>
        <w:rPr>
          <w:szCs w:val="24"/>
        </w:rPr>
      </w:pPr>
      <w:r>
        <w:rPr>
          <w:szCs w:val="24"/>
        </w:rPr>
        <w:t>For the lower taxonomic level additive partitioning analyses, we first explored the effect of dating error on our results. We used ECV medians calculated across inter-observer estimates for each specimen (i.e., ignored inter-observer error), randomly resampled age estimates according to the protocol laid out in “</w:t>
      </w:r>
      <w:r w:rsidRPr="004227DE">
        <w:rPr>
          <w:szCs w:val="24"/>
        </w:rPr>
        <w:t xml:space="preserve">Quantifying ECV </w:t>
      </w:r>
      <w:r>
        <w:rPr>
          <w:szCs w:val="24"/>
        </w:rPr>
        <w:t xml:space="preserve">and dating </w:t>
      </w:r>
      <w:r w:rsidRPr="004227DE">
        <w:rPr>
          <w:szCs w:val="24"/>
        </w:rPr>
        <w:t>error</w:t>
      </w:r>
      <w:r>
        <w:rPr>
          <w:szCs w:val="24"/>
        </w:rPr>
        <w:t>,</w:t>
      </w:r>
      <w:r w:rsidRPr="004227DE">
        <w:rPr>
          <w:szCs w:val="24"/>
        </w:rPr>
        <w:t>”</w:t>
      </w:r>
      <w:r>
        <w:rPr>
          <w:szCs w:val="24"/>
        </w:rPr>
        <w:t xml:space="preserve"> calculated the additive </w:t>
      </w:r>
      <w:r>
        <w:rPr>
          <w:szCs w:val="24"/>
        </w:rPr>
        <w:lastRenderedPageBreak/>
        <w:t xml:space="preserve">partitions, and repeated this 1000 times (fig. 4). We then examined the influence of inter-observer ECV error on our results. Instead of using the variance component method of the clade-level analyses, we randomly sampled one published measurement for each specimen, used midpoints for the specimen ages (i.e., ignored dating error), conducted the additive partitioning analysis, and repeated this 1000 times to produce error bars on </w:t>
      </w:r>
      <w:r w:rsidR="00DF296B">
        <w:rPr>
          <w:szCs w:val="24"/>
        </w:rPr>
        <w:t>the partition estimates (fig. S6</w:t>
      </w:r>
      <w:r>
        <w:rPr>
          <w:szCs w:val="24"/>
        </w:rPr>
        <w:t>). We also tested for the effect of bin location on our results by calculating the additive partitions using median ECV and age midpoints but iteratively shifting the bin boundaries used in the ma</w:t>
      </w:r>
      <w:r w:rsidR="00DF296B">
        <w:rPr>
          <w:szCs w:val="24"/>
        </w:rPr>
        <w:t>in analyses by +0.05 Ma (fig. S8</w:t>
      </w:r>
      <w:r>
        <w:rPr>
          <w:szCs w:val="24"/>
        </w:rPr>
        <w:t xml:space="preserve">). Finally, we analyzed the effect of bin size on our results by again calculating the partitions using median ECV and age midpoints but using bin sizes of 0.2 </w:t>
      </w:r>
      <w:r w:rsidR="00DF296B">
        <w:rPr>
          <w:szCs w:val="24"/>
        </w:rPr>
        <w:t>Ma, 0.3 Ma, and 0.4 Ma (fig. S9</w:t>
      </w:r>
      <w:r>
        <w:rPr>
          <w:szCs w:val="24"/>
        </w:rPr>
        <w:t xml:space="preserve">). Bin edges from the bin size sensitivity analysis started from 0.05 Ma and increased by whichever size was being tested. All of these sensitivity analyses were conducted twice, once using a less speciose taxonomy and then again using a more speciose taxonomy. </w:t>
      </w:r>
      <w:r w:rsidR="008C4B2D">
        <w:rPr>
          <w:szCs w:val="24"/>
        </w:rPr>
        <w:br/>
      </w:r>
      <w:r w:rsidR="008C4B2D">
        <w:rPr>
          <w:szCs w:val="24"/>
        </w:rPr>
        <w:br/>
      </w:r>
      <w:r>
        <w:rPr>
          <w:szCs w:val="24"/>
          <w:u w:val="single"/>
        </w:rPr>
        <w:t>Comparing within-lineage ECV change to published generational rates of change</w:t>
      </w:r>
      <w:r>
        <w:rPr>
          <w:szCs w:val="24"/>
          <w:u w:val="single"/>
        </w:rPr>
        <w:br/>
      </w:r>
      <w:r w:rsidRPr="00F25770">
        <w:rPr>
          <w:szCs w:val="24"/>
        </w:rPr>
        <w:t xml:space="preserve"> </w:t>
      </w:r>
      <w:r w:rsidRPr="00F25770">
        <w:rPr>
          <w:szCs w:val="24"/>
        </w:rPr>
        <w:tab/>
      </w:r>
      <w:r>
        <w:rPr>
          <w:szCs w:val="24"/>
        </w:rPr>
        <w:t xml:space="preserve">We used a simple </w:t>
      </w:r>
      <w:r w:rsidR="008F4B30">
        <w:rPr>
          <w:szCs w:val="24"/>
        </w:rPr>
        <w:t xml:space="preserve">exponential </w:t>
      </w:r>
      <w:r>
        <w:rPr>
          <w:szCs w:val="24"/>
        </w:rPr>
        <w:t xml:space="preserve">model from Hansen and colleagues </w:t>
      </w:r>
      <w:r>
        <w:rPr>
          <w:szCs w:val="24"/>
        </w:rPr>
        <w:fldChar w:fldCharType="begin"/>
      </w:r>
      <w:r w:rsidR="00006B9A">
        <w:rPr>
          <w:szCs w:val="24"/>
        </w:rPr>
        <w:instrText xml:space="preserve"> ADDIN ZOTERO_ITEM CSL_CITATION {"citationID":"2l300dvrem","properties":{"formattedCitation":"[22,23]","plainCitation":"[22,23]"},"citationItems":[{"id":693,"uris":["http://zotero.org/users/2478888/items/HAEVZGW7"],"uri":["http://zotero.org/users/2478888/items/HAEVZGW7"],"itemData":{"id":693,"type":"article-journal","title":"Heritability is not Evolvability","container-title":"Evolutionary Biology","page":"258-277","volume":"38","issue":"3","source":"CrossRef","DOI":"10.1007/s11692-011-9127-6","ISSN":"0071-3260, 1934-2845","language":"en","author":[{"family":"Hansen","given":"Thomas F."},{"family":"Pélabon","given":"Christophe"},{"family":"Houle","given":"David"}],"issued":{"date-parts":[["2011",9]]}}},{"id":1111,"uris":["http://zotero.org/users/2478888/items/SDIJNCQJ"],"uri":["http://zotero.org/users/2478888/items/SDIJNCQJ"],"itemData":{"id":1111,"type":"chapter","title":"Adaptive landscapes and macroevolutionary dynamics","container-title":"The Adaptive Landscape in Evolutionary Biology","publisher":"Oxford University Press","publisher-place":"Oxford","page":"205-226","event-place":"Oxford","ISBN":"978-0-19-959537-2","author":[{"family":"Hansen","given":"Thomas F."}],"editor":[{"family":"Svensson","given":"Erik I."},{"family":"Calsbeek","given":"Ryan"}],"issued":{"date-parts":[["2012"]]}}}],"schema":"https://github.com/citation-style-language/schema/raw/master/csl-citation.json"} </w:instrText>
      </w:r>
      <w:r>
        <w:rPr>
          <w:szCs w:val="24"/>
        </w:rPr>
        <w:fldChar w:fldCharType="separate"/>
      </w:r>
      <w:r w:rsidR="00006B9A" w:rsidRPr="00006B9A">
        <w:t>[22,23]</w:t>
      </w:r>
      <w:r>
        <w:rPr>
          <w:szCs w:val="24"/>
        </w:rPr>
        <w:fldChar w:fldCharType="end"/>
      </w:r>
      <w:r>
        <w:rPr>
          <w:szCs w:val="24"/>
        </w:rPr>
        <w:t xml:space="preserve"> to investigate whether published estimates of the rate and magnitude of natural selection on generational time scales can be extrapolated to predict observed within-lineage ECV changes on geological time scales. </w:t>
      </w:r>
      <w:r w:rsidRPr="00610DE9">
        <w:rPr>
          <w:szCs w:val="24"/>
        </w:rPr>
        <w:t>If so, this would parsimoniously suggest that natural selection was consistently operating to increase ECV within hom</w:t>
      </w:r>
      <w:r>
        <w:rPr>
          <w:szCs w:val="24"/>
        </w:rPr>
        <w:t xml:space="preserve">inin populations (as opposed to including periods of </w:t>
      </w:r>
      <w:r w:rsidRPr="00610DE9">
        <w:rPr>
          <w:szCs w:val="24"/>
        </w:rPr>
        <w:t>stasis or drift).</w:t>
      </w:r>
      <w:r>
        <w:rPr>
          <w:szCs w:val="24"/>
        </w:rPr>
        <w:t xml:space="preserve"> </w:t>
      </w:r>
      <w:r w:rsidRPr="00F25770">
        <w:rPr>
          <w:szCs w:val="24"/>
        </w:rPr>
        <w:t xml:space="preserve">We should note that </w:t>
      </w:r>
      <w:r>
        <w:rPr>
          <w:szCs w:val="24"/>
        </w:rPr>
        <w:t xml:space="preserve">this model assumes evolvability and the strength of selection are constant across generations, both of which are unlikely to be true (see ref. </w:t>
      </w:r>
      <w:r>
        <w:rPr>
          <w:szCs w:val="24"/>
        </w:rPr>
        <w:fldChar w:fldCharType="begin"/>
      </w:r>
      <w:r w:rsidR="00006B9A">
        <w:rPr>
          <w:szCs w:val="24"/>
        </w:rPr>
        <w:instrText xml:space="preserve"> ADDIN ZOTERO_ITEM CSL_CITATION {"citationID":"qEr17b87","properties":{"formattedCitation":"[24]","plainCitation":"[24]"},"citationItems":[{"id":795,"uris":["http://zotero.org/users/2478888/items/JJQAIWAM"],"uri":["http://zotero.org/users/2478888/items/JJQAIWAM"],"itemData":{"id":795,"type":"article-journal","title":"Complex and changing patterns of natural selection explain the evolution of the human hip","container-title":"Journal of Human Evolution","page":"94-110","volume":"85","source":"CrossRef","DOI":"10.1016/j.jhevol.2015.05.008","ISSN":"00472484","language":"en","author":[{"family":"Grabowski","given":"Mark"},{"family":"Roseman","given":"Charles C."}],"issued":{"date-parts":[["2015",8]]}}}],"schema":"https://github.com/citation-style-language/schema/raw/master/csl-citation.json"} </w:instrText>
      </w:r>
      <w:r>
        <w:rPr>
          <w:szCs w:val="24"/>
        </w:rPr>
        <w:fldChar w:fldCharType="separate"/>
      </w:r>
      <w:r w:rsidR="00006B9A" w:rsidRPr="00006B9A">
        <w:t>[24]</w:t>
      </w:r>
      <w:r>
        <w:rPr>
          <w:szCs w:val="24"/>
        </w:rPr>
        <w:fldChar w:fldCharType="end"/>
      </w:r>
      <w:r>
        <w:rPr>
          <w:szCs w:val="24"/>
        </w:rPr>
        <w:t xml:space="preserve"> for an example involving the hominin hip).</w:t>
      </w:r>
      <w:r w:rsidR="001A1611">
        <w:rPr>
          <w:szCs w:val="24"/>
        </w:rPr>
        <w:t xml:space="preserve"> Like all studies using models, </w:t>
      </w:r>
      <w:r w:rsidR="000E5834">
        <w:rPr>
          <w:szCs w:val="24"/>
        </w:rPr>
        <w:t>how</w:t>
      </w:r>
      <w:r w:rsidR="00E37D78">
        <w:rPr>
          <w:szCs w:val="24"/>
        </w:rPr>
        <w:t xml:space="preserve"> model results and empirical data </w:t>
      </w:r>
      <w:r w:rsidR="000E5834">
        <w:rPr>
          <w:szCs w:val="24"/>
        </w:rPr>
        <w:t xml:space="preserve">differ </w:t>
      </w:r>
      <w:r w:rsidR="00E37D78">
        <w:rPr>
          <w:szCs w:val="24"/>
        </w:rPr>
        <w:t>tell</w:t>
      </w:r>
      <w:r w:rsidR="001A1611">
        <w:rPr>
          <w:szCs w:val="24"/>
        </w:rPr>
        <w:t>s</w:t>
      </w:r>
      <w:r w:rsidR="00E37D78">
        <w:rPr>
          <w:szCs w:val="24"/>
        </w:rPr>
        <w:t xml:space="preserve"> us </w:t>
      </w:r>
      <w:r w:rsidR="000E5834">
        <w:rPr>
          <w:szCs w:val="24"/>
        </w:rPr>
        <w:t xml:space="preserve">something about how </w:t>
      </w:r>
      <w:r w:rsidR="00E37D78">
        <w:rPr>
          <w:szCs w:val="24"/>
        </w:rPr>
        <w:t>these assumptions are violated, which is useful information</w:t>
      </w:r>
      <w:r w:rsidR="00FD080C">
        <w:rPr>
          <w:szCs w:val="24"/>
        </w:rPr>
        <w:t>.</w:t>
      </w:r>
      <w:r>
        <w:rPr>
          <w:szCs w:val="24"/>
        </w:rPr>
        <w:t xml:space="preserve"> </w:t>
      </w:r>
      <w:r w:rsidR="00EE6509">
        <w:rPr>
          <w:szCs w:val="24"/>
        </w:rPr>
        <w:t>Thus, this</w:t>
      </w:r>
      <w:r>
        <w:rPr>
          <w:szCs w:val="24"/>
        </w:rPr>
        <w:t xml:space="preserve"> model serves as a useful heuristic for bridging the disparate time scales of microevolutionary studies and the hominin fossil ECV record. </w:t>
      </w:r>
    </w:p>
    <w:p w14:paraId="15534073" w14:textId="730C5057" w:rsidR="005B51B1" w:rsidRDefault="005B51B1" w:rsidP="00635D7A">
      <w:pPr>
        <w:spacing w:line="360" w:lineRule="auto"/>
        <w:ind w:firstLine="720"/>
        <w:rPr>
          <w:szCs w:val="24"/>
        </w:rPr>
      </w:pPr>
      <w:r>
        <w:rPr>
          <w:szCs w:val="24"/>
        </w:rPr>
        <w:t xml:space="preserve">Proportional change in some trait for a given population can be calculated with the equation: </w:t>
      </w:r>
      <m:oMath>
        <m:sSup>
          <m:sSupPr>
            <m:ctrlPr>
              <w:rPr>
                <w:rFonts w:ascii="Cambria Math" w:hAnsi="Cambria Math"/>
                <w:i/>
                <w:szCs w:val="24"/>
              </w:rPr>
            </m:ctrlPr>
          </m:sSupPr>
          <m:e>
            <m:d>
              <m:dPr>
                <m:ctrlPr>
                  <w:rPr>
                    <w:rFonts w:ascii="Cambria Math" w:hAnsi="Cambria Math"/>
                    <w:i/>
                    <w:szCs w:val="24"/>
                  </w:rPr>
                </m:ctrlPr>
              </m:dPr>
              <m:e>
                <m: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e</m:t>
                    </m:r>
                  </m:e>
                  <m:sub>
                    <m:r>
                      <w:rPr>
                        <w:rFonts w:ascii="Cambria Math" w:hAnsi="Cambria Math"/>
                        <w:szCs w:val="24"/>
                      </w:rPr>
                      <m:t>μ</m:t>
                    </m:r>
                  </m:sub>
                </m:sSub>
                <m:sSub>
                  <m:sSubPr>
                    <m:ctrlPr>
                      <w:rPr>
                        <w:rFonts w:ascii="Cambria Math" w:hAnsi="Cambria Math"/>
                        <w:i/>
                        <w:szCs w:val="24"/>
                      </w:rPr>
                    </m:ctrlPr>
                  </m:sSubPr>
                  <m:e>
                    <m:r>
                      <w:rPr>
                        <w:rFonts w:ascii="Cambria Math" w:hAnsi="Cambria Math"/>
                        <w:szCs w:val="24"/>
                      </w:rPr>
                      <m:t>β</m:t>
                    </m:r>
                  </m:e>
                  <m:sub>
                    <m:r>
                      <w:rPr>
                        <w:rFonts w:ascii="Cambria Math" w:hAnsi="Cambria Math"/>
                        <w:szCs w:val="24"/>
                      </w:rPr>
                      <m:t>μ</m:t>
                    </m:r>
                  </m:sub>
                </m:sSub>
              </m:e>
            </m:d>
          </m:e>
          <m:sup>
            <m:r>
              <w:rPr>
                <w:rFonts w:ascii="Cambria Math" w:hAnsi="Cambria Math"/>
                <w:szCs w:val="24"/>
              </w:rPr>
              <m:t>t</m:t>
            </m:r>
          </m:sup>
        </m:sSup>
      </m:oMath>
      <w:r w:rsidRPr="00F25770">
        <w:rPr>
          <w:szCs w:val="24"/>
        </w:rPr>
        <w:t xml:space="preserve">, where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μ</m:t>
            </m:r>
          </m:sub>
        </m:sSub>
      </m:oMath>
      <w:r w:rsidRPr="00F25770">
        <w:rPr>
          <w:szCs w:val="24"/>
        </w:rPr>
        <w:t xml:space="preserve"> is the mean-standardized selection gradient (i.e., the percent change in fitness given a 1% change in the trait), </w:t>
      </w:r>
      <m:oMath>
        <m:sSub>
          <m:sSubPr>
            <m:ctrlPr>
              <w:rPr>
                <w:rFonts w:ascii="Cambria Math" w:hAnsi="Cambria Math"/>
                <w:i/>
                <w:szCs w:val="24"/>
              </w:rPr>
            </m:ctrlPr>
          </m:sSubPr>
          <m:e>
            <m:r>
              <m:rPr>
                <m:sty m:val="p"/>
              </m:rPr>
              <w:rPr>
                <w:rFonts w:ascii="Cambria Math" w:hAnsi="Cambria Math"/>
                <w:szCs w:val="24"/>
              </w:rPr>
              <m:t>e</m:t>
            </m:r>
          </m:e>
          <m:sub>
            <m:r>
              <w:rPr>
                <w:rFonts w:ascii="Cambria Math" w:hAnsi="Cambria Math"/>
                <w:szCs w:val="24"/>
              </w:rPr>
              <m:t>μ</m:t>
            </m:r>
          </m:sub>
        </m:sSub>
      </m:oMath>
      <w:r w:rsidRPr="00F25770">
        <w:rPr>
          <w:szCs w:val="24"/>
        </w:rPr>
        <w:t xml:space="preserve"> is a measure of evolvability quantifying the expected trait response to a unit strength of selection (i.e.,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μ</m:t>
            </m:r>
          </m:sub>
        </m:sSub>
        <m:r>
          <w:rPr>
            <w:rFonts w:ascii="Cambria Math" w:hAnsi="Cambria Math"/>
            <w:szCs w:val="24"/>
          </w:rPr>
          <m:t>=1</m:t>
        </m:r>
      </m:oMath>
      <w:r w:rsidRPr="00F25770">
        <w:rPr>
          <w:szCs w:val="24"/>
        </w:rPr>
        <w:t xml:space="preserve">), and </w:t>
      </w:r>
      <w:r w:rsidRPr="00F25770">
        <w:rPr>
          <w:i/>
          <w:szCs w:val="24"/>
        </w:rPr>
        <w:t>t</w:t>
      </w:r>
      <w:r w:rsidRPr="00F25770">
        <w:rPr>
          <w:szCs w:val="24"/>
        </w:rPr>
        <w:t xml:space="preserve"> is the number of </w:t>
      </w:r>
      <w:r w:rsidRPr="00F25770">
        <w:rPr>
          <w:szCs w:val="24"/>
        </w:rPr>
        <w:lastRenderedPageBreak/>
        <w:t>generations</w:t>
      </w:r>
      <w:r>
        <w:rPr>
          <w:szCs w:val="24"/>
        </w:rPr>
        <w:t xml:space="preserve"> </w:t>
      </w:r>
      <w:r>
        <w:rPr>
          <w:szCs w:val="24"/>
        </w:rPr>
        <w:fldChar w:fldCharType="begin"/>
      </w:r>
      <w:r w:rsidR="00006B9A">
        <w:rPr>
          <w:szCs w:val="24"/>
        </w:rPr>
        <w:instrText xml:space="preserve"> ADDIN ZOTERO_ITEM CSL_CITATION {"citationID":"kTI9Gi17","properties":{"formattedCitation":"[22,23]","plainCitation":"[22,23]"},"citationItems":[{"id":693,"uris":["http://zotero.org/users/2478888/items/HAEVZGW7"],"uri":["http://zotero.org/users/2478888/items/HAEVZGW7"],"itemData":{"id":693,"type":"article-journal","title":"Heritability is not Evolvability","container-title":"Evolutionary Biology","page":"258-277","volume":"38","issue":"3","source":"CrossRef","DOI":"10.1007/s11692-011-9127-6","ISSN":"0071-3260, 1934-2845","language":"en","author":[{"family":"Hansen","given":"Thomas F."},{"family":"Pélabon","given":"Christophe"},{"family":"Houle","given":"David"}],"issued":{"date-parts":[["2011",9]]}}},{"id":1111,"uris":["http://zotero.org/users/2478888/items/SDIJNCQJ"],"uri":["http://zotero.org/users/2478888/items/SDIJNCQJ"],"itemData":{"id":1111,"type":"chapter","title":"Adaptive landscapes and macroevolutionary dynamics","container-title":"The Adaptive Landscape in Evolutionary Biology","publisher":"Oxford University Press","publisher-place":"Oxford","page":"205-226","event-place":"Oxford","ISBN":"978-0-19-959537-2","author":[{"family":"Hansen","given":"Thomas F."}],"editor":[{"family":"Svensson","given":"Erik I."},{"family":"Calsbeek","given":"Ryan"}],"issued":{"date-parts":[["2012"]]}}}],"schema":"https://github.com/citation-style-language/schema/raw/master/csl-citation.json"} </w:instrText>
      </w:r>
      <w:r>
        <w:rPr>
          <w:szCs w:val="24"/>
        </w:rPr>
        <w:fldChar w:fldCharType="separate"/>
      </w:r>
      <w:r w:rsidR="00006B9A" w:rsidRPr="00006B9A">
        <w:t>[22,23]</w:t>
      </w:r>
      <w:r>
        <w:rPr>
          <w:szCs w:val="24"/>
        </w:rPr>
        <w:fldChar w:fldCharType="end"/>
      </w:r>
      <w:r>
        <w:rPr>
          <w:szCs w:val="24"/>
        </w:rPr>
        <w:t xml:space="preserve">. Using a database of morphological traits, Hereford and colleagues found </w:t>
      </w:r>
      <w:r w:rsidRPr="00F25770">
        <w:rPr>
          <w:szCs w:val="24"/>
        </w:rPr>
        <w:t xml:space="preserve">median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μ</m:t>
            </m:r>
          </m:sub>
        </m:sSub>
      </m:oMath>
      <w:r w:rsidRPr="00F25770">
        <w:rPr>
          <w:szCs w:val="24"/>
        </w:rPr>
        <w:t xml:space="preserve"> is 0.28 for multi-trait studies that take into account trait covariance </w:t>
      </w:r>
      <w:r w:rsidRPr="00F25770">
        <w:rPr>
          <w:szCs w:val="24"/>
        </w:rPr>
        <w:fldChar w:fldCharType="begin"/>
      </w:r>
      <w:r w:rsidR="00006B9A">
        <w:rPr>
          <w:szCs w:val="24"/>
        </w:rPr>
        <w:instrText xml:space="preserve"> ADDIN ZOTERO_ITEM CSL_CITATION {"citationID":"wOP5JN4S","properties":{"formattedCitation":"[25]","plainCitation":"[25]"},"citationItems":[{"id":799,"uris":["http://zotero.org/users/2478888/items/JNBEWRGK"],"uri":["http://zotero.org/users/2478888/items/JNBEWRGK"],"itemData":{"id":799,"type":"article-journal","title":"Comparing strengths of directional selection: how strong is strong?","container-title":"Evolution","page":"2133-2143","volume":"58","issue":"10","source":"bioone.org (Atypon)","abstract":"The fundamental equation in evolutionary quantitative genetics, the Lande equation, describes the response to directional selection as a product of the additive genetic variance and the selection gradient of trait value on relative fitness. Comparisons of both genetic variances and selection gradients across traits or populations require standardization, as both are scale dependent. The Lande equation can be standardized in two ways. Standardizing by the variance of the selected trait yields the response in units of standard deviation as the product of the heritability and the variance-standardized selection gradient. This standardization conflates selection and variation because the phenotypic variance is a function of the genetic variance. Alternatively, one can standardize the Lande equation using the trait mean, yielding the proportional response to selection as the product of the squared coefficient of additive genetic variance and the mean-standardized selection gradient. Mean-standardized selection gradients are particularly useful for summarizing the strength of selection because the mean-standardized gradient for fitness itself is one, a convenient benchmark for strong selection. We review published estimates of directional selection in natural populations using mean-standardized selection gradients. Only 38 published studies provided all the necessary information for calculation of mean-standardized gradients. The median absolute value of multivariate mean-standardized gradients shows that selection is on average 54% as strong as selection on fitness. Correcting for the upward bias introduced by taking absolute values lowers the median to 31%, still very strong selection. Such large estimates clearly cannot be representative of selection on all traits. Some possible sources of overestimation of the strength of selection include confounding environmental and genotypic effects on fitness, the use of fitness components as proxies for fitness, and biases in publication or choice of traits to study.","DOI":"10.1554/04-147","ISSN":"0014-3820","shortTitle":"Comparing strengths of directional selection","journalAbbreviation":"Evolution","author":[{"family":"Hereford","given":"Joe"},{"family":"Hansen","given":"Thomas F."},{"family":"Houle","given":"David"},{"family":"Fenster","given":"C."}],"issued":{"date-parts":[["2004",10,1]]}}}],"schema":"https://github.com/citation-style-language/schema/raw/master/csl-citation.json"} </w:instrText>
      </w:r>
      <w:r w:rsidRPr="00F25770">
        <w:rPr>
          <w:szCs w:val="24"/>
        </w:rPr>
        <w:fldChar w:fldCharType="separate"/>
      </w:r>
      <w:r w:rsidR="00006B9A" w:rsidRPr="00006B9A">
        <w:t>[25]</w:t>
      </w:r>
      <w:r w:rsidRPr="00F25770">
        <w:rPr>
          <w:szCs w:val="24"/>
        </w:rPr>
        <w:fldChar w:fldCharType="end"/>
      </w:r>
      <w:r w:rsidRPr="00F25770">
        <w:rPr>
          <w:szCs w:val="24"/>
        </w:rPr>
        <w:t xml:space="preserve">, which is an appropriate assumption here since hominin brain and body size are known to be highly correlated </w:t>
      </w:r>
      <w:r w:rsidRPr="00F25770">
        <w:rPr>
          <w:szCs w:val="24"/>
        </w:rPr>
        <w:fldChar w:fldCharType="begin"/>
      </w:r>
      <w:r w:rsidR="00006B9A">
        <w:rPr>
          <w:szCs w:val="24"/>
        </w:rPr>
        <w:instrText xml:space="preserve"> ADDIN ZOTERO_ITEM CSL_CITATION {"citationID":"13b0e7ugq2","properties":{"formattedCitation":"[26]","plainCitation":"[26]"},"citationItems":[{"id":797,"uris":["http://zotero.org/users/2478888/items/JKCBNIU7"],"uri":["http://zotero.org/users/2478888/items/JKCBNIU7"],"itemData":{"id":797,"type":"article-journal","title":"Bigger Brains Led to Bigger Bodies?: The Correlated Evolution of Human Brain and Body Size","container-title":"Current Anthropology","page":"174-196","volume":"57","issue":"2","source":"CrossRef","DOI":"10.1086/685655","ISSN":"0011-3204, 1537-5382","shortTitle":"Bigger Brains Led to Bigger Bodies?","language":"en","author":[{"family":"Grabowski","given":"Mark"}],"issued":{"date-parts":[["2016",4]]}}}],"schema":"https://github.com/citation-style-language/schema/raw/master/csl-citation.json"} </w:instrText>
      </w:r>
      <w:r w:rsidRPr="00F25770">
        <w:rPr>
          <w:szCs w:val="24"/>
        </w:rPr>
        <w:fldChar w:fldCharType="separate"/>
      </w:r>
      <w:r w:rsidR="00006B9A" w:rsidRPr="00006B9A">
        <w:t>[26]</w:t>
      </w:r>
      <w:r w:rsidRPr="00F25770">
        <w:rPr>
          <w:szCs w:val="24"/>
        </w:rPr>
        <w:fldChar w:fldCharType="end"/>
      </w:r>
      <w:r w:rsidRPr="00F25770">
        <w:rPr>
          <w:szCs w:val="24"/>
        </w:rPr>
        <w:t xml:space="preserve">. Hominins are estimated to have an </w:t>
      </w:r>
      <m:oMath>
        <m:sSub>
          <m:sSubPr>
            <m:ctrlPr>
              <w:rPr>
                <w:rFonts w:ascii="Cambria Math" w:hAnsi="Cambria Math"/>
                <w:i/>
                <w:szCs w:val="24"/>
              </w:rPr>
            </m:ctrlPr>
          </m:sSubPr>
          <m:e>
            <m:r>
              <m:rPr>
                <m:sty m:val="p"/>
              </m:rPr>
              <w:rPr>
                <w:rFonts w:ascii="Cambria Math" w:hAnsi="Cambria Math"/>
                <w:szCs w:val="24"/>
              </w:rPr>
              <m:t>e</m:t>
            </m:r>
          </m:e>
          <m:sub>
            <m:r>
              <w:rPr>
                <w:rFonts w:ascii="Cambria Math" w:hAnsi="Cambria Math"/>
                <w:szCs w:val="24"/>
              </w:rPr>
              <m:t>μ</m:t>
            </m:r>
          </m:sub>
        </m:sSub>
      </m:oMath>
      <w:r w:rsidRPr="00F25770">
        <w:rPr>
          <w:szCs w:val="24"/>
        </w:rPr>
        <w:t xml:space="preserve"> of 0.006%, as estimated from phenotypic data (M. Grabowski pers. comm.). The bin size in our additive partitioning analyses is 0.3 Ma, which translates to 11,110 generations, assuming a hominin generation time of 27 years </w:t>
      </w:r>
      <w:r w:rsidRPr="00F25770">
        <w:rPr>
          <w:szCs w:val="24"/>
        </w:rPr>
        <w:fldChar w:fldCharType="begin"/>
      </w:r>
      <w:r w:rsidR="00006B9A">
        <w:rPr>
          <w:szCs w:val="24"/>
        </w:rPr>
        <w:instrText xml:space="preserve"> ADDIN ZOTERO_ITEM CSL_CITATION {"citationID":"960uf50rb","properties":{"formattedCitation":"[27]","plainCitation":"[27]"},"citationItems":[{"id":678,"uris":["http://zotero.org/users/2478888/items/GZ39JHQU"],"uri":["http://zotero.org/users/2478888/items/GZ39JHQU"],"itemData":{"id":678,"type":"article-journal","title":"Generation times in wild chimpanzees and gorillas suggest earlier divergence times in great ape and human evolution","container-title":"Proceedings of the National Academy of Sciences","page":"15716-15721","volume":"109","issue":"39","source":"CrossRef","DOI":"10.1073/pnas.1211740109","ISSN":"0027-8424, 1091-6490","language":"en","author":[{"family":"Langergraber","given":"K. E."},{"family":"Prufer","given":"K."},{"family":"Rowney","given":"C."},{"family":"Boesch","given":"C."},{"family":"Crockford","given":"C."},{"family":"Fawcett","given":"K."},{"family":"Inoue","given":"E."},{"family":"Inoue-Muruyama","given":"M."},{"family":"Mitani","given":"J. C."},{"family":"Muller","given":"M. N."},{"family":"Robbins","given":"M. M."},{"family":"Schubert","given":"G."},{"family":"Stoinski","given":"T. S."},{"family":"Viola","given":"B."},{"family":"Watts","given":"D."},{"family":"Wittig","given":"R. M."},{"family":"Wrangham","given":"R. W."},{"family":"Zuberbuhler","given":"K."},{"family":"Paabo","given":"S."},{"family":"Vigilant","given":"L."}],"issued":{"date-parts":[["2012",9,25]]}}}],"schema":"https://github.com/citation-style-language/schema/raw/master/csl-citation.json"} </w:instrText>
      </w:r>
      <w:r w:rsidRPr="00F25770">
        <w:rPr>
          <w:szCs w:val="24"/>
        </w:rPr>
        <w:fldChar w:fldCharType="separate"/>
      </w:r>
      <w:r w:rsidR="00006B9A" w:rsidRPr="00006B9A">
        <w:t>[27]</w:t>
      </w:r>
      <w:r w:rsidRPr="00F25770">
        <w:rPr>
          <w:szCs w:val="24"/>
        </w:rPr>
        <w:fldChar w:fldCharType="end"/>
      </w:r>
      <w:r w:rsidRPr="00F25770">
        <w:rPr>
          <w:szCs w:val="24"/>
        </w:rPr>
        <w:t xml:space="preserve">. Inputting these numbers into the model, we find hominin ECV is expected to increase via natural selection over 0.3 Ma by 0.08 </w:t>
      </w:r>
      <w:r>
        <w:rPr>
          <w:szCs w:val="24"/>
        </w:rPr>
        <w:t>log</w:t>
      </w:r>
      <w:r w:rsidRPr="000724D3">
        <w:rPr>
          <w:szCs w:val="24"/>
          <w:vertAlign w:val="subscript"/>
        </w:rPr>
        <w:t>10</w:t>
      </w:r>
      <w:r>
        <w:rPr>
          <w:szCs w:val="24"/>
        </w:rPr>
        <w:t>cm</w:t>
      </w:r>
      <w:r w:rsidRPr="000724D3">
        <w:rPr>
          <w:szCs w:val="24"/>
          <w:vertAlign w:val="superscript"/>
        </w:rPr>
        <w:t>3</w:t>
      </w:r>
      <w:r>
        <w:rPr>
          <w:szCs w:val="24"/>
        </w:rPr>
        <w:t xml:space="preserve">, or </w:t>
      </w:r>
      <w:r w:rsidRPr="00F25770">
        <w:rPr>
          <w:szCs w:val="24"/>
        </w:rPr>
        <w:t>a factor of 1.2</w:t>
      </w:r>
      <w:r>
        <w:rPr>
          <w:szCs w:val="24"/>
        </w:rPr>
        <w:t xml:space="preserve">. </w:t>
      </w:r>
    </w:p>
    <w:p w14:paraId="3A731157" w14:textId="77777777" w:rsidR="008C4B2D" w:rsidRDefault="008C4B2D" w:rsidP="00635D7A">
      <w:pPr>
        <w:spacing w:line="360" w:lineRule="auto"/>
        <w:ind w:firstLine="720"/>
        <w:rPr>
          <w:szCs w:val="24"/>
        </w:rPr>
      </w:pPr>
    </w:p>
    <w:p w14:paraId="35DC27FC" w14:textId="546FCCA1" w:rsidR="005B51B1" w:rsidRPr="00A31877" w:rsidRDefault="00635D7A" w:rsidP="005B51B1">
      <w:pPr>
        <w:spacing w:line="360" w:lineRule="auto"/>
        <w:rPr>
          <w:szCs w:val="24"/>
        </w:rPr>
      </w:pPr>
      <w:r>
        <w:rPr>
          <w:u w:val="single"/>
        </w:rPr>
        <w:t>A note on t</w:t>
      </w:r>
      <w:r w:rsidR="005B51B1">
        <w:rPr>
          <w:u w:val="single"/>
        </w:rPr>
        <w:t>he hominin evolvability estimate</w:t>
      </w:r>
    </w:p>
    <w:p w14:paraId="59F6CED4" w14:textId="7AAE8D7A" w:rsidR="005B51B1" w:rsidRDefault="005B51B1" w:rsidP="005B51B1">
      <w:pPr>
        <w:spacing w:line="360" w:lineRule="auto"/>
        <w:ind w:firstLine="720"/>
        <w:rPr>
          <w:szCs w:val="24"/>
        </w:rPr>
      </w:pPr>
      <w:r>
        <w:rPr>
          <w:szCs w:val="24"/>
        </w:rPr>
        <w:t>We find within-lineage ECV evolves at a much slower rate than expected given the increase predicted from the microevolutionary exponential model. We obtain this result despite the very small evolvability estimate of hominin ECV (0.006%), which would dampen the amount of change possible given a certain magnitude of selection and number of generations. When Hansen and colleagues analyzed a large compilation of published evolvability estimates, they found the median evolvability for weight and volume traits is 0.94%, where 0.006% is in the 7</w:t>
      </w:r>
      <w:r w:rsidRPr="00D93F33">
        <w:rPr>
          <w:szCs w:val="24"/>
          <w:vertAlign w:val="superscript"/>
        </w:rPr>
        <w:t>th</w:t>
      </w:r>
      <w:r>
        <w:rPr>
          <w:szCs w:val="24"/>
        </w:rPr>
        <w:t xml:space="preserve"> percentile </w:t>
      </w:r>
      <w:r>
        <w:rPr>
          <w:szCs w:val="24"/>
        </w:rPr>
        <w:fldChar w:fldCharType="begin"/>
      </w:r>
      <w:r w:rsidR="00006B9A">
        <w:rPr>
          <w:szCs w:val="24"/>
        </w:rPr>
        <w:instrText xml:space="preserve"> ADDIN ZOTERO_ITEM CSL_CITATION {"citationID":"8QEUVojV","properties":{"formattedCitation":"[22]","plainCitation":"[22]"},"citationItems":[{"id":693,"uris":["http://zotero.org/users/2478888/items/HAEVZGW7"],"uri":["http://zotero.org/users/2478888/items/HAEVZGW7"],"itemData":{"id":693,"type":"article-journal","title":"Heritability is not Evolvability","container-title":"Evolutionary Biology","page":"258-277","volume":"38","issue":"3","source":"CrossRef","DOI":"10.1007/s11692-011-9127-6","ISSN":"0071-3260, 1934-2845","language":"en","author":[{"family":"Hansen","given":"Thomas F."},{"family":"Pélabon","given":"Christophe"},{"family":"Houle","given":"David"}],"issued":{"date-parts":[["2011",9]]}}}],"schema":"https://github.com/citation-style-language/schema/raw/master/csl-citation.json"} </w:instrText>
      </w:r>
      <w:r>
        <w:rPr>
          <w:szCs w:val="24"/>
        </w:rPr>
        <w:fldChar w:fldCharType="separate"/>
      </w:r>
      <w:r w:rsidR="00006B9A" w:rsidRPr="00006B9A">
        <w:t>[22]</w:t>
      </w:r>
      <w:r>
        <w:rPr>
          <w:szCs w:val="24"/>
        </w:rPr>
        <w:fldChar w:fldCharType="end"/>
      </w:r>
      <w:r>
        <w:rPr>
          <w:szCs w:val="24"/>
        </w:rPr>
        <w:t xml:space="preserve">. The 0.006% and 0.94% numbers are not strictly commensurate, however, because the former was calculated using data on phenotypic variance, whereas the latter was generated using additive genetic variance. Phenotypic variance is always greater than or equal to additive genetic variance </w:t>
      </w:r>
      <w:r>
        <w:rPr>
          <w:szCs w:val="24"/>
        </w:rPr>
        <w:fldChar w:fldCharType="begin"/>
      </w:r>
      <w:r w:rsidR="00006B9A">
        <w:rPr>
          <w:szCs w:val="24"/>
        </w:rPr>
        <w:instrText xml:space="preserve"> ADDIN ZOTERO_ITEM CSL_CITATION {"citationID":"6k8bpamqv","properties":{"formattedCitation":"[30]","plainCitation":"[30]"},"citationItems":[{"id":1149,"uris":["http://zotero.org/users/2478888/items/TCDSRZCV"],"uri":["http://zotero.org/users/2478888/items/TCDSRZCV"],"itemData":{"id":1149,"type":"book","title":"Population genetics: a concise guide","publisher":"Johns Hopkins University Press","publisher-place":"Baltimore, Md","number-of-pages":"214","edition":"2nd ed","source":"Library of Congress ISBN","event-place":"Baltimore, Md","ISBN":"978-0-8018-8008-7","call-number":"QH455 .G565 2004","shortTitle":"Population genetics","author":[{"family":"Gillespie","given":"John H."}],"issued":{"date-parts":[["2004"]]}}}],"schema":"https://github.com/citation-style-language/schema/raw/master/csl-citation.json"} </w:instrText>
      </w:r>
      <w:r>
        <w:rPr>
          <w:szCs w:val="24"/>
        </w:rPr>
        <w:fldChar w:fldCharType="separate"/>
      </w:r>
      <w:r w:rsidR="00006B9A" w:rsidRPr="00006B9A">
        <w:t>[30]</w:t>
      </w:r>
      <w:r>
        <w:rPr>
          <w:szCs w:val="24"/>
        </w:rPr>
        <w:fldChar w:fldCharType="end"/>
      </w:r>
      <w:r>
        <w:rPr>
          <w:szCs w:val="24"/>
        </w:rPr>
        <w:t xml:space="preserve"> and as a result, evolvability calculated using phenotypic variance is also always larger than or equal to that calculated using additive genetic variance. Therefore, the 0.006% estimate is likely biased upwards relative to the published estimates of Hansen and colleagues </w:t>
      </w:r>
      <w:r>
        <w:rPr>
          <w:szCs w:val="24"/>
        </w:rPr>
        <w:fldChar w:fldCharType="begin"/>
      </w:r>
      <w:r w:rsidR="00006B9A">
        <w:rPr>
          <w:szCs w:val="24"/>
        </w:rPr>
        <w:instrText xml:space="preserve"> ADDIN ZOTERO_ITEM CSL_CITATION {"citationID":"1gqm8ktts2","properties":{"formattedCitation":"[22]","plainCitation":"[22]"},"citationItems":[{"id":693,"uris":["http://zotero.org/users/2478888/items/HAEVZGW7"],"uri":["http://zotero.org/users/2478888/items/HAEVZGW7"],"itemData":{"id":693,"type":"article-journal","title":"Heritability is not Evolvability","container-title":"Evolutionary Biology","page":"258-277","volume":"38","issue":"3","source":"CrossRef","DOI":"10.1007/s11692-011-9127-6","ISSN":"0071-3260, 1934-2845","language":"en","author":[{"family":"Hansen","given":"Thomas F."},{"family":"Pélabon","given":"Christophe"},{"family":"Houle","given":"David"}],"issued":{"date-parts":[["2011",9]]}}}],"schema":"https://github.com/citation-style-language/schema/raw/master/csl-citation.json"} </w:instrText>
      </w:r>
      <w:r>
        <w:rPr>
          <w:szCs w:val="24"/>
        </w:rPr>
        <w:fldChar w:fldCharType="separate"/>
      </w:r>
      <w:r w:rsidR="00006B9A" w:rsidRPr="00006B9A">
        <w:t>[22]</w:t>
      </w:r>
      <w:r>
        <w:rPr>
          <w:szCs w:val="24"/>
        </w:rPr>
        <w:fldChar w:fldCharType="end"/>
      </w:r>
      <w:r>
        <w:rPr>
          <w:szCs w:val="24"/>
        </w:rPr>
        <w:t>, further emphasizing the small magnitude of hominin ECV evolvability. Future research should seek to understand why hominin ECV has such unusually low evolvability, as this has implications for setting a maximum limit for how fast ECV could have evolved in the past.</w:t>
      </w:r>
    </w:p>
    <w:p w14:paraId="6C698483" w14:textId="41CF835F" w:rsidR="005B51B1" w:rsidRDefault="005B51B1" w:rsidP="005B51B1">
      <w:pPr>
        <w:pStyle w:val="SMcaption"/>
      </w:pPr>
      <w:r>
        <w:rPr>
          <w:szCs w:val="24"/>
        </w:rPr>
        <w:br w:type="page"/>
      </w:r>
      <w:r w:rsidR="00A930BF">
        <w:rPr>
          <w:noProof/>
        </w:rPr>
        <w:lastRenderedPageBreak/>
        <w:drawing>
          <wp:inline distT="0" distB="0" distL="0" distR="0" wp14:anchorId="12AC719D" wp14:editId="5EF14FBA">
            <wp:extent cx="5540388" cy="6331789"/>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46954" cy="6339293"/>
                    </a:xfrm>
                    <a:prstGeom prst="rect">
                      <a:avLst/>
                    </a:prstGeom>
                  </pic:spPr>
                </pic:pic>
              </a:graphicData>
            </a:graphic>
          </wp:inline>
        </w:drawing>
      </w:r>
    </w:p>
    <w:p w14:paraId="270D8C34" w14:textId="77777777" w:rsidR="005B51B1" w:rsidRDefault="005B51B1" w:rsidP="005B51B1">
      <w:pPr>
        <w:pStyle w:val="SMHeading"/>
      </w:pPr>
      <w:r w:rsidRPr="00813B6D">
        <w:t>Fig. S</w:t>
      </w:r>
      <w:r>
        <w:t>1</w:t>
      </w:r>
    </w:p>
    <w:p w14:paraId="4DC86F0C" w14:textId="6455FA16" w:rsidR="005B51B1" w:rsidRDefault="005B51B1" w:rsidP="005B51B1">
      <w:pPr>
        <w:pStyle w:val="Caption"/>
        <w:keepNext/>
        <w:spacing w:line="360" w:lineRule="auto"/>
        <w:rPr>
          <w:b w:val="0"/>
          <w:sz w:val="24"/>
          <w:szCs w:val="24"/>
        </w:rPr>
      </w:pPr>
      <w:r w:rsidRPr="00813B6D">
        <w:rPr>
          <w:b w:val="0"/>
          <w:sz w:val="24"/>
          <w:szCs w:val="24"/>
        </w:rPr>
        <w:t xml:space="preserve">Hominin ECV model fits for all six evolutionary modes. Binning was done using 0.2 Ma bins and observed (not resampled) age midpoints for plotting purposes only (the main method resamples age estimates before fitting the models, iterating this 1000 times; see </w:t>
      </w:r>
      <w:r w:rsidR="00EC7C34">
        <w:rPr>
          <w:b w:val="0"/>
          <w:sz w:val="24"/>
          <w:szCs w:val="24"/>
        </w:rPr>
        <w:t xml:space="preserve">fig. </w:t>
      </w:r>
      <w:r w:rsidRPr="00813B6D">
        <w:rPr>
          <w:b w:val="0"/>
          <w:sz w:val="24"/>
          <w:szCs w:val="24"/>
        </w:rPr>
        <w:t>S2). Points are mean ECV estimates, and error bars are ± 1 standard error for each time bin. Dotted line indicates the expected evolutionary trajectory for each fitted model, surrounded by the 95% probability envelope in gray. The gradu</w:t>
      </w:r>
      <w:r>
        <w:rPr>
          <w:b w:val="0"/>
          <w:sz w:val="24"/>
          <w:szCs w:val="24"/>
        </w:rPr>
        <w:t>alism model fit is the same as f</w:t>
      </w:r>
      <w:r w:rsidRPr="00813B6D">
        <w:rPr>
          <w:b w:val="0"/>
          <w:sz w:val="24"/>
          <w:szCs w:val="24"/>
        </w:rPr>
        <w:t>ig. 3a in the main text.</w:t>
      </w:r>
    </w:p>
    <w:p w14:paraId="1D58F621" w14:textId="6FFCC793" w:rsidR="005B51B1" w:rsidRDefault="005B51B1" w:rsidP="005B51B1">
      <w:pPr>
        <w:pStyle w:val="Caption"/>
        <w:keepNext/>
        <w:spacing w:line="360" w:lineRule="auto"/>
      </w:pPr>
      <w:r>
        <w:rPr>
          <w:b w:val="0"/>
          <w:sz w:val="24"/>
          <w:szCs w:val="24"/>
        </w:rPr>
        <w:br w:type="page"/>
      </w:r>
      <w:r w:rsidR="005E7372">
        <w:rPr>
          <w:noProof/>
        </w:rPr>
        <w:lastRenderedPageBreak/>
        <w:drawing>
          <wp:inline distT="0" distB="0" distL="0" distR="0" wp14:anchorId="4B0606C4" wp14:editId="1A31D393">
            <wp:extent cx="5943600" cy="3342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2640"/>
                    </a:xfrm>
                    <a:prstGeom prst="rect">
                      <a:avLst/>
                    </a:prstGeom>
                  </pic:spPr>
                </pic:pic>
              </a:graphicData>
            </a:graphic>
          </wp:inline>
        </w:drawing>
      </w:r>
      <w:r w:rsidR="00844957" w:rsidRPr="00844957" w:rsidDel="00844957">
        <w:rPr>
          <w:b w:val="0"/>
          <w:sz w:val="24"/>
          <w:szCs w:val="24"/>
        </w:rPr>
        <w:t xml:space="preserve"> </w:t>
      </w:r>
    </w:p>
    <w:p w14:paraId="78E71080" w14:textId="77777777" w:rsidR="005B51B1" w:rsidRPr="00355362" w:rsidRDefault="005B51B1" w:rsidP="005B51B1">
      <w:pPr>
        <w:pStyle w:val="SMHeading"/>
      </w:pPr>
      <w:r w:rsidRPr="00355362">
        <w:t>F</w:t>
      </w:r>
      <w:r>
        <w:t>ig. S2</w:t>
      </w:r>
    </w:p>
    <w:p w14:paraId="5370E766" w14:textId="77777777" w:rsidR="005B51B1" w:rsidRDefault="005B51B1" w:rsidP="005B51B1">
      <w:pPr>
        <w:pStyle w:val="SMcaption"/>
        <w:spacing w:line="360" w:lineRule="auto"/>
      </w:pPr>
      <w:r w:rsidRPr="007B50E6">
        <w:rPr>
          <w:szCs w:val="24"/>
        </w:rPr>
        <w:t>Flowchart illustrating each step of our method</w:t>
      </w:r>
      <w:r>
        <w:rPr>
          <w:szCs w:val="24"/>
        </w:rPr>
        <w:t xml:space="preserve"> for estimating mode of ECV evolution at the hominin clade level.</w:t>
      </w:r>
    </w:p>
    <w:p w14:paraId="2D6A1949" w14:textId="33C988FA" w:rsidR="005B51B1" w:rsidRDefault="005B51B1" w:rsidP="005B51B1">
      <w:pPr>
        <w:pStyle w:val="SMHeading"/>
        <w:rPr>
          <w:noProof/>
        </w:rPr>
      </w:pPr>
      <w:r>
        <w:br w:type="page"/>
      </w:r>
      <w:r w:rsidR="001F1879">
        <w:rPr>
          <w:noProof/>
        </w:rPr>
        <w:lastRenderedPageBreak/>
        <w:drawing>
          <wp:inline distT="0" distB="0" distL="0" distR="0" wp14:anchorId="550070BE" wp14:editId="1BE3C985">
            <wp:extent cx="5796951" cy="5796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3951" cy="5803951"/>
                    </a:xfrm>
                    <a:prstGeom prst="rect">
                      <a:avLst/>
                    </a:prstGeom>
                  </pic:spPr>
                </pic:pic>
              </a:graphicData>
            </a:graphic>
          </wp:inline>
        </w:drawing>
      </w:r>
      <w:r w:rsidR="009B5EDB" w:rsidDel="009B5EDB">
        <w:rPr>
          <w:noProof/>
        </w:rPr>
        <w:t xml:space="preserve"> </w:t>
      </w:r>
    </w:p>
    <w:p w14:paraId="5A58C834" w14:textId="1405FAA9" w:rsidR="005B51B1" w:rsidRDefault="005B51B1" w:rsidP="005B51B1">
      <w:pPr>
        <w:pStyle w:val="SMHeading"/>
        <w:spacing w:line="360" w:lineRule="auto"/>
        <w:rPr>
          <w:b w:val="0"/>
        </w:rPr>
      </w:pPr>
      <w:r>
        <w:rPr>
          <w:noProof/>
        </w:rPr>
        <w:t>Fig. S3</w:t>
      </w:r>
      <w:r>
        <w:rPr>
          <w:noProof/>
        </w:rPr>
        <w:br/>
      </w:r>
      <w:r w:rsidRPr="00F30262">
        <w:rPr>
          <w:b w:val="0"/>
        </w:rPr>
        <w:t>Descriptive frequency distribution plots. (A) displays the number of measurements per specimen (median: 2 measurements). 73% of specimens were measured only once or twice. (B) shows ECV error ranges per specimen (median=0.0077 log</w:t>
      </w:r>
      <w:r w:rsidRPr="00F30262">
        <w:rPr>
          <w:b w:val="0"/>
          <w:vertAlign w:val="subscript"/>
        </w:rPr>
        <w:t>10</w:t>
      </w:r>
      <w:r w:rsidRPr="00F30262">
        <w:rPr>
          <w:b w:val="0"/>
        </w:rPr>
        <w:t>cm</w:t>
      </w:r>
      <w:r w:rsidRPr="00F30262">
        <w:rPr>
          <w:b w:val="0"/>
          <w:vertAlign w:val="superscript"/>
        </w:rPr>
        <w:t>3</w:t>
      </w:r>
      <w:r w:rsidRPr="00F30262">
        <w:rPr>
          <w:b w:val="0"/>
        </w:rPr>
        <w:t>). The inflated frequency of low error estimates is due to single-measurement specimens, which by definition have zero error (n=</w:t>
      </w:r>
      <w:r w:rsidR="00BE08A1">
        <w:rPr>
          <w:b w:val="0"/>
        </w:rPr>
        <w:t>40</w:t>
      </w:r>
      <w:r w:rsidRPr="00F30262">
        <w:rPr>
          <w:b w:val="0"/>
        </w:rPr>
        <w:t>). (C) provides the age error ranges per specimen (median=0.2</w:t>
      </w:r>
      <w:r w:rsidR="009B5EDB">
        <w:rPr>
          <w:b w:val="0"/>
        </w:rPr>
        <w:t>5</w:t>
      </w:r>
      <w:r w:rsidRPr="00F30262">
        <w:rPr>
          <w:b w:val="0"/>
        </w:rPr>
        <w:t xml:space="preserve"> Ma). If a specimen was dated by a single method so the age error was normally distributed (i.e., error associated with the analytical dating technique; see</w:t>
      </w:r>
      <w:r w:rsidR="004E38CC">
        <w:rPr>
          <w:b w:val="0"/>
        </w:rPr>
        <w:t xml:space="preserve"> “Quantifying ECV and dating error”</w:t>
      </w:r>
      <w:r w:rsidRPr="00F30262">
        <w:rPr>
          <w:b w:val="0"/>
        </w:rPr>
        <w:t>), the range was calculated as the mean ± 3 standard deviations.</w:t>
      </w:r>
    </w:p>
    <w:p w14:paraId="1B05660F" w14:textId="77777777" w:rsidR="005B51B1" w:rsidRDefault="005B51B1" w:rsidP="005B51B1">
      <w:pPr>
        <w:pStyle w:val="Legend"/>
        <w:spacing w:line="360" w:lineRule="auto"/>
      </w:pPr>
      <w:r>
        <w:br w:type="page"/>
      </w:r>
      <w:r>
        <w:rPr>
          <w:noProof/>
        </w:rPr>
        <w:lastRenderedPageBreak/>
        <w:drawing>
          <wp:inline distT="0" distB="0" distL="0" distR="0" wp14:anchorId="177AC814" wp14:editId="5C5A5EA3">
            <wp:extent cx="5943600" cy="2222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22500"/>
                    </a:xfrm>
                    <a:prstGeom prst="rect">
                      <a:avLst/>
                    </a:prstGeom>
                    <a:noFill/>
                    <a:ln>
                      <a:noFill/>
                    </a:ln>
                  </pic:spPr>
                </pic:pic>
              </a:graphicData>
            </a:graphic>
          </wp:inline>
        </w:drawing>
      </w:r>
    </w:p>
    <w:p w14:paraId="392907E5" w14:textId="77777777" w:rsidR="005B51B1" w:rsidRDefault="005B51B1" w:rsidP="005B51B1">
      <w:pPr>
        <w:pStyle w:val="Legend"/>
        <w:spacing w:line="360" w:lineRule="auto"/>
      </w:pPr>
      <w:r>
        <w:rPr>
          <w:b/>
        </w:rPr>
        <w:t>Fig. S4.</w:t>
      </w:r>
      <w:r>
        <w:rPr>
          <w:b/>
        </w:rPr>
        <w:br/>
      </w:r>
      <w:r>
        <w:t>Schematic illustrating which species were grouped into which lineages for the additive partitioning analysis. Because this analysis required assigning specimens to lineages, we conducted our analysis using one version of a less speciose and one version of a more speciose taxonomy to see if our results may be influenced by taxonomic philosophy. The first and last appearance dates of each lineage (using midpoint ages, and ignoring dating error) represent, respectively, the earliest and most recent specimen on which ECV could be measured, not the earliest and latest dates for the species as a whole. Our analysis makes no phylogenetic assumptions about how lineages are related to each other. “</w:t>
      </w:r>
      <w:r>
        <w:rPr>
          <w:i/>
        </w:rPr>
        <w:t>s.l.</w:t>
      </w:r>
      <w:r>
        <w:t xml:space="preserve">” stands for </w:t>
      </w:r>
      <w:r>
        <w:rPr>
          <w:i/>
        </w:rPr>
        <w:t>sensu lato</w:t>
      </w:r>
      <w:r>
        <w:t>, whereas “</w:t>
      </w:r>
      <w:r>
        <w:rPr>
          <w:i/>
        </w:rPr>
        <w:t>s.s.</w:t>
      </w:r>
      <w:r>
        <w:t xml:space="preserve">” stands for </w:t>
      </w:r>
      <w:r>
        <w:rPr>
          <w:i/>
        </w:rPr>
        <w:t>sensu stricto</w:t>
      </w:r>
      <w:r>
        <w:t>.</w:t>
      </w:r>
    </w:p>
    <w:p w14:paraId="7620A9BD" w14:textId="394EE590" w:rsidR="005B51B1" w:rsidRDefault="005B51B1" w:rsidP="005B51B1">
      <w:pPr>
        <w:pStyle w:val="SMcaption"/>
        <w:rPr>
          <w:noProof/>
        </w:rPr>
      </w:pPr>
      <w:r>
        <w:rPr>
          <w:szCs w:val="24"/>
        </w:rPr>
        <w:br w:type="page"/>
      </w:r>
      <w:r w:rsidR="00093AA2">
        <w:rPr>
          <w:noProof/>
        </w:rPr>
        <w:lastRenderedPageBreak/>
        <w:drawing>
          <wp:inline distT="0" distB="0" distL="0" distR="0" wp14:anchorId="60F9762A" wp14:editId="5D370066">
            <wp:extent cx="5943600" cy="29705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70530"/>
                    </a:xfrm>
                    <a:prstGeom prst="rect">
                      <a:avLst/>
                    </a:prstGeom>
                  </pic:spPr>
                </pic:pic>
              </a:graphicData>
            </a:graphic>
          </wp:inline>
        </w:drawing>
      </w:r>
      <w:r w:rsidR="00093AA2" w:rsidDel="00093AA2">
        <w:rPr>
          <w:noProof/>
        </w:rPr>
        <w:t xml:space="preserve"> </w:t>
      </w:r>
    </w:p>
    <w:p w14:paraId="5E1CB7C9" w14:textId="77777777" w:rsidR="005B51B1" w:rsidRDefault="005B51B1" w:rsidP="005B51B1">
      <w:pPr>
        <w:pStyle w:val="SMHeading"/>
        <w:rPr>
          <w:noProof/>
        </w:rPr>
      </w:pPr>
      <w:r>
        <w:rPr>
          <w:noProof/>
        </w:rPr>
        <w:t>Fig. S5</w:t>
      </w:r>
    </w:p>
    <w:p w14:paraId="0EC38B3D" w14:textId="1719987F" w:rsidR="005B51B1" w:rsidRPr="00F30262" w:rsidRDefault="005B51B1" w:rsidP="005B51B1">
      <w:pPr>
        <w:pStyle w:val="Caption"/>
        <w:spacing w:line="360" w:lineRule="auto"/>
        <w:rPr>
          <w:b w:val="0"/>
          <w:i/>
          <w:sz w:val="24"/>
          <w:szCs w:val="24"/>
        </w:rPr>
      </w:pPr>
      <w:r w:rsidRPr="00F30262">
        <w:rPr>
          <w:b w:val="0"/>
          <w:sz w:val="24"/>
          <w:szCs w:val="24"/>
        </w:rPr>
        <w:t>Sensitivity analyses for the clade-level evolutionary mode analysis testing the effect of (A) bin location and (B) bin size. Lines denote the median AICc weight values of the top models, and confidence intervals mark the 1</w:t>
      </w:r>
      <w:r w:rsidRPr="00F30262">
        <w:rPr>
          <w:b w:val="0"/>
          <w:sz w:val="24"/>
          <w:szCs w:val="24"/>
          <w:vertAlign w:val="superscript"/>
        </w:rPr>
        <w:t>st</w:t>
      </w:r>
      <w:r w:rsidRPr="00F30262">
        <w:rPr>
          <w:b w:val="0"/>
          <w:sz w:val="24"/>
          <w:szCs w:val="24"/>
        </w:rPr>
        <w:t xml:space="preserve"> and 3</w:t>
      </w:r>
      <w:r w:rsidRPr="00F30262">
        <w:rPr>
          <w:b w:val="0"/>
          <w:sz w:val="24"/>
          <w:szCs w:val="24"/>
          <w:vertAlign w:val="superscript"/>
        </w:rPr>
        <w:t>rd</w:t>
      </w:r>
      <w:r w:rsidRPr="00F30262">
        <w:rPr>
          <w:b w:val="0"/>
          <w:sz w:val="24"/>
          <w:szCs w:val="24"/>
        </w:rPr>
        <w:t xml:space="preserve"> quartiles. Analyses were rerun while (A) iteratively shifting the bin location by +0.02 Ma up to +0.18 Ma and then (B) iteratively increasing bin size by 0.05 Ma from 0.1 to 0.5 Ma. Minimum number of bin samples per segment needed to be set to three for the bin size sensitivity analyses. Results show that arbitrarily selected bin attributes do not affect gradualism being the dominant model unless bin size is </w:t>
      </w:r>
      <w:r w:rsidR="006D263E">
        <w:rPr>
          <w:b w:val="0"/>
          <w:sz w:val="24"/>
          <w:szCs w:val="24"/>
        </w:rPr>
        <w:t>below 0.2 Ma</w:t>
      </w:r>
      <w:r w:rsidRPr="00F30262">
        <w:rPr>
          <w:b w:val="0"/>
          <w:sz w:val="24"/>
          <w:szCs w:val="24"/>
        </w:rPr>
        <w:t>. However, bin size</w:t>
      </w:r>
      <w:r w:rsidR="00301CFD">
        <w:rPr>
          <w:b w:val="0"/>
          <w:sz w:val="24"/>
          <w:szCs w:val="24"/>
        </w:rPr>
        <w:t>s</w:t>
      </w:r>
      <w:r w:rsidRPr="00F30262">
        <w:rPr>
          <w:b w:val="0"/>
          <w:sz w:val="24"/>
          <w:szCs w:val="24"/>
        </w:rPr>
        <w:t xml:space="preserve"> this small result in a very low number of fossil hominin cranial specimens per bin (median: </w:t>
      </w:r>
      <w:r w:rsidR="00301CFD">
        <w:rPr>
          <w:b w:val="0"/>
          <w:sz w:val="24"/>
          <w:szCs w:val="24"/>
        </w:rPr>
        <w:t>3</w:t>
      </w:r>
      <w:r w:rsidRPr="00F30262">
        <w:rPr>
          <w:b w:val="0"/>
          <w:sz w:val="24"/>
          <w:szCs w:val="24"/>
        </w:rPr>
        <w:t xml:space="preserve">), which gives a very large sampling error and is considered technically unsound </w:t>
      </w:r>
      <w:r w:rsidRPr="003A69A7">
        <w:rPr>
          <w:b w:val="0"/>
          <w:i/>
          <w:sz w:val="24"/>
          <w:szCs w:val="24"/>
        </w:rPr>
        <w:fldChar w:fldCharType="begin"/>
      </w:r>
      <w:r w:rsidR="00006B9A" w:rsidRPr="00DF7DCC">
        <w:rPr>
          <w:b w:val="0"/>
          <w:sz w:val="24"/>
          <w:szCs w:val="24"/>
        </w:rPr>
        <w:instrText xml:space="preserve"> ADDIN ZOTERO_ITEM CSL_CITATION {"citationID":"11e9o40c6b","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3A69A7">
        <w:rPr>
          <w:b w:val="0"/>
          <w:i/>
          <w:sz w:val="24"/>
          <w:szCs w:val="24"/>
        </w:rPr>
        <w:fldChar w:fldCharType="separate"/>
      </w:r>
      <w:r w:rsidR="00006B9A" w:rsidRPr="00BE5243">
        <w:rPr>
          <w:b w:val="0"/>
          <w:sz w:val="24"/>
        </w:rPr>
        <w:t>[3]</w:t>
      </w:r>
      <w:r w:rsidRPr="003A69A7">
        <w:rPr>
          <w:b w:val="0"/>
          <w:i/>
          <w:sz w:val="24"/>
          <w:szCs w:val="24"/>
        </w:rPr>
        <w:fldChar w:fldCharType="end"/>
      </w:r>
      <w:r w:rsidRPr="003A69A7">
        <w:rPr>
          <w:b w:val="0"/>
          <w:sz w:val="24"/>
          <w:szCs w:val="24"/>
        </w:rPr>
        <w:t>.</w:t>
      </w:r>
    </w:p>
    <w:p w14:paraId="25D81E3D" w14:textId="11DB03F9" w:rsidR="005B51B1" w:rsidRDefault="005B51B1" w:rsidP="005B51B1">
      <w:pPr>
        <w:pStyle w:val="SMHeading"/>
        <w:rPr>
          <w:noProof/>
        </w:rPr>
      </w:pPr>
      <w:r>
        <w:br w:type="page"/>
      </w:r>
    </w:p>
    <w:p w14:paraId="6F0CC44D" w14:textId="389F7523" w:rsidR="005B51B1" w:rsidRDefault="003A69A7" w:rsidP="005B51B1">
      <w:pPr>
        <w:pStyle w:val="SMHeading"/>
        <w:spacing w:line="360" w:lineRule="auto"/>
        <w:rPr>
          <w:b w:val="0"/>
        </w:rPr>
      </w:pPr>
      <w:r>
        <w:rPr>
          <w:noProof/>
        </w:rPr>
        <w:lastRenderedPageBreak/>
        <w:drawing>
          <wp:inline distT="0" distB="0" distL="0" distR="0" wp14:anchorId="1045562B" wp14:editId="7E4CD2B3">
            <wp:extent cx="5943600" cy="3782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782695"/>
                    </a:xfrm>
                    <a:prstGeom prst="rect">
                      <a:avLst/>
                    </a:prstGeom>
                  </pic:spPr>
                </pic:pic>
              </a:graphicData>
            </a:graphic>
          </wp:inline>
        </w:drawing>
      </w:r>
      <w:r w:rsidR="005B51B1">
        <w:rPr>
          <w:noProof/>
        </w:rPr>
        <w:t>Fig. S</w:t>
      </w:r>
      <w:r w:rsidR="00BE5243">
        <w:rPr>
          <w:noProof/>
        </w:rPr>
        <w:t>6</w:t>
      </w:r>
      <w:r w:rsidR="005B51B1">
        <w:rPr>
          <w:noProof/>
        </w:rPr>
        <w:br/>
      </w:r>
      <w:r w:rsidR="005B51B1" w:rsidRPr="00CD2494">
        <w:rPr>
          <w:b w:val="0"/>
        </w:rPr>
        <w:t>Sensitivity analysis investigating how inter-observer ECV measurement error affects the additive partitioning of clade-level changes into anagenesis and observed first and last appearances components. Ages separated by hyphens indicate over which two age bins the ECV transition is measured.</w:t>
      </w:r>
      <w:r w:rsidR="005B51B1">
        <w:t xml:space="preserve"> </w:t>
      </w:r>
      <w:r w:rsidR="005B51B1" w:rsidRPr="00CD2494">
        <w:rPr>
          <w:b w:val="0"/>
        </w:rPr>
        <w:t>“First/last appearances” represents macroevolutionary change that cannot be partitioned into separate first or last appearances components (</w:t>
      </w:r>
      <w:r w:rsidR="005B51B1">
        <w:rPr>
          <w:b w:val="0"/>
        </w:rPr>
        <w:t>see “Materials and Methods”</w:t>
      </w:r>
      <w:r w:rsidR="005B51B1" w:rsidRPr="00CD2494">
        <w:rPr>
          <w:b w:val="0"/>
        </w:rPr>
        <w:t xml:space="preserve">). Error bars are ± 1 SE calculated by randomly </w:t>
      </w:r>
      <w:r w:rsidR="005B51B1">
        <w:rPr>
          <w:b w:val="0"/>
        </w:rPr>
        <w:t>sampling</w:t>
      </w:r>
      <w:r w:rsidR="005B51B1" w:rsidRPr="00CD2494">
        <w:rPr>
          <w:b w:val="0"/>
        </w:rPr>
        <w:t xml:space="preserve"> single ECV measurement</w:t>
      </w:r>
      <w:r w:rsidR="005B51B1">
        <w:rPr>
          <w:b w:val="0"/>
        </w:rPr>
        <w:t>s for each specimen (see “Materials and Methods”)</w:t>
      </w:r>
      <w:r w:rsidR="005B51B1" w:rsidRPr="00CD2494">
        <w:rPr>
          <w:b w:val="0"/>
        </w:rPr>
        <w:t xml:space="preserve">. Dating error was ignored, and only age midpoint data were used. The horizontal black line represents the expected amount of within-lineage ECV increase over 0.3 Ma given our knowledge of how quickly natural selection operates from microevolutionary studies (see </w:t>
      </w:r>
      <w:r w:rsidR="005B51B1">
        <w:rPr>
          <w:b w:val="0"/>
        </w:rPr>
        <w:t>“Materials and Methods”</w:t>
      </w:r>
      <w:r w:rsidR="005B51B1" w:rsidRPr="00CD2494">
        <w:rPr>
          <w:b w:val="0"/>
        </w:rPr>
        <w:t>). Insets depict the cumulative effect of each component (excluding “First/last appearances”) on the net clade-level trend (black line). Vertical dotted lines in the inset correspond to the vertical dotted lines in the main figure. Anagenesis accounts for 90% and 52% of clade-level change in the less and more speciose taxonomy, respectively. The panel on the top was created using the less speciose taxonomy, and the one on the bottom was created using the more speciose taxonomy.</w:t>
      </w:r>
    </w:p>
    <w:p w14:paraId="57D3BC60" w14:textId="42B358A6" w:rsidR="005B51B1" w:rsidRDefault="005B51B1" w:rsidP="005B51B1">
      <w:pPr>
        <w:pStyle w:val="SMHeading"/>
        <w:spacing w:line="360" w:lineRule="auto"/>
        <w:rPr>
          <w:b w:val="0"/>
        </w:rPr>
      </w:pPr>
      <w:r>
        <w:rPr>
          <w:b w:val="0"/>
        </w:rPr>
        <w:br w:type="page"/>
      </w:r>
      <w:r w:rsidR="0032024D">
        <w:rPr>
          <w:noProof/>
        </w:rPr>
        <w:lastRenderedPageBreak/>
        <w:drawing>
          <wp:inline distT="0" distB="0" distL="0" distR="0" wp14:anchorId="52173391" wp14:editId="1629EC78">
            <wp:extent cx="5279366" cy="52793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6386" cy="5296386"/>
                    </a:xfrm>
                    <a:prstGeom prst="rect">
                      <a:avLst/>
                    </a:prstGeom>
                  </pic:spPr>
                </pic:pic>
              </a:graphicData>
            </a:graphic>
          </wp:inline>
        </w:drawing>
      </w:r>
      <w:r w:rsidR="00BE5243">
        <w:rPr>
          <w:noProof/>
        </w:rPr>
        <w:br/>
        <w:t>Fig. S7</w:t>
      </w:r>
      <w:r>
        <w:rPr>
          <w:noProof/>
        </w:rPr>
        <w:br/>
      </w:r>
      <w:r w:rsidRPr="00CD2494">
        <w:rPr>
          <w:b w:val="0"/>
        </w:rPr>
        <w:t xml:space="preserve">Scatter plots of hominin specimen ECVs through time. Points represent each individual specimen’s median age and ECV measurement (error bars are removed here for clarity) and are color-coded by lineage. Vertical dotted lines represent the bin edges used in the main partitioning analysis. Top plot represents a less speciose taxonomy (blue: </w:t>
      </w:r>
      <w:r w:rsidR="00F81F93">
        <w:rPr>
          <w:b w:val="0"/>
        </w:rPr>
        <w:t>eastern</w:t>
      </w:r>
      <w:r w:rsidR="00F81F93" w:rsidRPr="00CD2494">
        <w:rPr>
          <w:b w:val="0"/>
        </w:rPr>
        <w:t xml:space="preserve"> </w:t>
      </w:r>
      <w:r w:rsidRPr="00CD2494">
        <w:rPr>
          <w:b w:val="0"/>
        </w:rPr>
        <w:t xml:space="preserve">African </w:t>
      </w:r>
      <w:r w:rsidRPr="00CD2494">
        <w:rPr>
          <w:b w:val="0"/>
          <w:i/>
        </w:rPr>
        <w:t>Australopithecus</w:t>
      </w:r>
      <w:r w:rsidRPr="00CD2494">
        <w:rPr>
          <w:b w:val="0"/>
        </w:rPr>
        <w:t>-</w:t>
      </w:r>
      <w:r w:rsidRPr="00CD2494">
        <w:rPr>
          <w:b w:val="0"/>
          <w:i/>
        </w:rPr>
        <w:t>Homo</w:t>
      </w:r>
      <w:r w:rsidRPr="00CD2494">
        <w:rPr>
          <w:b w:val="0"/>
        </w:rPr>
        <w:t xml:space="preserve">; red: </w:t>
      </w:r>
      <w:r w:rsidR="00F81F93">
        <w:rPr>
          <w:b w:val="0"/>
        </w:rPr>
        <w:t>eastern</w:t>
      </w:r>
      <w:r w:rsidR="00F81F93" w:rsidRPr="00CD2494">
        <w:rPr>
          <w:b w:val="0"/>
        </w:rPr>
        <w:t xml:space="preserve"> </w:t>
      </w:r>
      <w:r w:rsidRPr="00CD2494">
        <w:rPr>
          <w:b w:val="0"/>
        </w:rPr>
        <w:t xml:space="preserve">African </w:t>
      </w:r>
      <w:r w:rsidRPr="00CD2494">
        <w:rPr>
          <w:b w:val="0"/>
          <w:i/>
        </w:rPr>
        <w:t>Paranthropus</w:t>
      </w:r>
      <w:r w:rsidRPr="00CD2494">
        <w:rPr>
          <w:b w:val="0"/>
        </w:rPr>
        <w:t xml:space="preserve">; black: South African </w:t>
      </w:r>
      <w:r w:rsidRPr="00CD2494">
        <w:rPr>
          <w:b w:val="0"/>
          <w:i/>
        </w:rPr>
        <w:t>Australopithecus</w:t>
      </w:r>
      <w:r w:rsidRPr="00CD2494">
        <w:rPr>
          <w:b w:val="0"/>
        </w:rPr>
        <w:t>-</w:t>
      </w:r>
      <w:r w:rsidRPr="00CD2494">
        <w:rPr>
          <w:b w:val="0"/>
          <w:i/>
        </w:rPr>
        <w:t>Paranthropus</w:t>
      </w:r>
      <w:r w:rsidRPr="00CD2494">
        <w:rPr>
          <w:b w:val="0"/>
        </w:rPr>
        <w:t xml:space="preserve">). Bottom plot represents the more speciose taxonomy (brown: </w:t>
      </w:r>
      <w:r w:rsidRPr="00CD2494">
        <w:rPr>
          <w:b w:val="0"/>
          <w:i/>
        </w:rPr>
        <w:t>Australopithecus</w:t>
      </w:r>
      <w:r w:rsidRPr="00CD2494">
        <w:rPr>
          <w:b w:val="0"/>
        </w:rPr>
        <w:t xml:space="preserve"> </w:t>
      </w:r>
      <w:r w:rsidRPr="00CD2494">
        <w:rPr>
          <w:b w:val="0"/>
          <w:i/>
        </w:rPr>
        <w:t>afarensis</w:t>
      </w:r>
      <w:r w:rsidRPr="00CD2494">
        <w:rPr>
          <w:b w:val="0"/>
        </w:rPr>
        <w:t xml:space="preserve">; blue: </w:t>
      </w:r>
      <w:r w:rsidR="00F81F93">
        <w:rPr>
          <w:b w:val="0"/>
        </w:rPr>
        <w:t>eastern</w:t>
      </w:r>
      <w:r w:rsidR="00F81F93" w:rsidRPr="00CD2494">
        <w:rPr>
          <w:b w:val="0"/>
        </w:rPr>
        <w:t xml:space="preserve"> </w:t>
      </w:r>
      <w:r w:rsidRPr="00CD2494">
        <w:rPr>
          <w:b w:val="0"/>
        </w:rPr>
        <w:t xml:space="preserve">African </w:t>
      </w:r>
      <w:r w:rsidRPr="00CD2494">
        <w:rPr>
          <w:b w:val="0"/>
          <w:i/>
        </w:rPr>
        <w:t>Paranthropus</w:t>
      </w:r>
      <w:r w:rsidRPr="00CD2494">
        <w:rPr>
          <w:b w:val="0"/>
        </w:rPr>
        <w:t xml:space="preserve">; red: </w:t>
      </w:r>
      <w:r w:rsidRPr="00CD2494">
        <w:rPr>
          <w:b w:val="0"/>
          <w:i/>
        </w:rPr>
        <w:t>Australopithecus africanus</w:t>
      </w:r>
      <w:r w:rsidRPr="00CD2494">
        <w:rPr>
          <w:b w:val="0"/>
        </w:rPr>
        <w:t xml:space="preserve">; black: </w:t>
      </w:r>
      <w:r w:rsidRPr="00CD2494">
        <w:rPr>
          <w:b w:val="0"/>
          <w:i/>
        </w:rPr>
        <w:t>Paranthropus robustus</w:t>
      </w:r>
      <w:r w:rsidRPr="00CD2494">
        <w:rPr>
          <w:b w:val="0"/>
        </w:rPr>
        <w:t xml:space="preserve">; green: early </w:t>
      </w:r>
      <w:r w:rsidRPr="00CD2494">
        <w:rPr>
          <w:b w:val="0"/>
          <w:i/>
        </w:rPr>
        <w:t>Homo</w:t>
      </w:r>
      <w:r w:rsidRPr="00CD2494">
        <w:rPr>
          <w:b w:val="0"/>
        </w:rPr>
        <w:t xml:space="preserve"> (</w:t>
      </w:r>
      <w:r w:rsidRPr="00CD2494">
        <w:rPr>
          <w:b w:val="0"/>
          <w:i/>
        </w:rPr>
        <w:t>Homo habilis</w:t>
      </w:r>
      <w:r w:rsidRPr="00CD2494">
        <w:rPr>
          <w:b w:val="0"/>
        </w:rPr>
        <w:t xml:space="preserve"> &amp; </w:t>
      </w:r>
      <w:r w:rsidRPr="00CD2494">
        <w:rPr>
          <w:b w:val="0"/>
          <w:i/>
        </w:rPr>
        <w:t>Homo rudolfensis</w:t>
      </w:r>
      <w:r w:rsidRPr="00CD2494">
        <w:rPr>
          <w:b w:val="0"/>
        </w:rPr>
        <w:t xml:space="preserve">); purple: </w:t>
      </w:r>
      <w:r w:rsidRPr="00CD2494">
        <w:rPr>
          <w:b w:val="0"/>
          <w:i/>
        </w:rPr>
        <w:t>Homo ergaster</w:t>
      </w:r>
      <w:r w:rsidRPr="00CD2494">
        <w:rPr>
          <w:b w:val="0"/>
        </w:rPr>
        <w:t xml:space="preserve"> (i.e., </w:t>
      </w:r>
      <w:r w:rsidR="00F81F93">
        <w:rPr>
          <w:b w:val="0"/>
        </w:rPr>
        <w:t>eastern</w:t>
      </w:r>
      <w:r w:rsidR="00F81F93" w:rsidRPr="00CD2494">
        <w:rPr>
          <w:b w:val="0"/>
        </w:rPr>
        <w:t xml:space="preserve"> </w:t>
      </w:r>
      <w:r w:rsidRPr="00CD2494">
        <w:rPr>
          <w:b w:val="0"/>
        </w:rPr>
        <w:t xml:space="preserve">African </w:t>
      </w:r>
      <w:r w:rsidRPr="00CD2494">
        <w:rPr>
          <w:b w:val="0"/>
          <w:i/>
        </w:rPr>
        <w:t>Homo erectus</w:t>
      </w:r>
      <w:r w:rsidRPr="00CD2494">
        <w:rPr>
          <w:b w:val="0"/>
        </w:rPr>
        <w:t xml:space="preserve">); orange: </w:t>
      </w:r>
      <w:r w:rsidRPr="00CD2494">
        <w:rPr>
          <w:b w:val="0"/>
          <w:i/>
        </w:rPr>
        <w:t>Homo erectus sensu stricto</w:t>
      </w:r>
      <w:r w:rsidRPr="00CD2494">
        <w:rPr>
          <w:b w:val="0"/>
        </w:rPr>
        <w:t xml:space="preserve"> (i.e., Asian </w:t>
      </w:r>
      <w:r w:rsidRPr="00CD2494">
        <w:rPr>
          <w:b w:val="0"/>
          <w:i/>
        </w:rPr>
        <w:t>Homo erectus</w:t>
      </w:r>
      <w:r w:rsidRPr="00CD2494">
        <w:rPr>
          <w:b w:val="0"/>
        </w:rPr>
        <w:t xml:space="preserve">); dark green: </w:t>
      </w:r>
      <w:r w:rsidRPr="00CD2494">
        <w:rPr>
          <w:b w:val="0"/>
          <w:i/>
        </w:rPr>
        <w:t>Homo heidelbergensis</w:t>
      </w:r>
      <w:r w:rsidRPr="00CD2494">
        <w:rPr>
          <w:b w:val="0"/>
        </w:rPr>
        <w:t>).</w:t>
      </w:r>
    </w:p>
    <w:p w14:paraId="0C7809B4" w14:textId="3D915444" w:rsidR="005B51B1" w:rsidRDefault="005B51B1" w:rsidP="005B51B1">
      <w:pPr>
        <w:pStyle w:val="SMHeading"/>
        <w:spacing w:line="360" w:lineRule="auto"/>
        <w:rPr>
          <w:noProof/>
        </w:rPr>
      </w:pPr>
      <w:r>
        <w:rPr>
          <w:b w:val="0"/>
        </w:rPr>
        <w:br w:type="page"/>
      </w:r>
      <w:r w:rsidR="00F92CB1">
        <w:rPr>
          <w:b w:val="0"/>
          <w:bCs w:val="0"/>
          <w:noProof/>
        </w:rPr>
        <w:lastRenderedPageBreak/>
        <w:drawing>
          <wp:inline distT="0" distB="0" distL="0" distR="0" wp14:anchorId="75693142" wp14:editId="499CBA8C">
            <wp:extent cx="5943600" cy="5202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202555"/>
                    </a:xfrm>
                    <a:prstGeom prst="rect">
                      <a:avLst/>
                    </a:prstGeom>
                  </pic:spPr>
                </pic:pic>
              </a:graphicData>
            </a:graphic>
          </wp:inline>
        </w:drawing>
      </w:r>
      <w:r w:rsidR="00BE5243">
        <w:rPr>
          <w:noProof/>
        </w:rPr>
        <w:t>Fig. S8</w:t>
      </w:r>
      <w:r>
        <w:rPr>
          <w:noProof/>
        </w:rPr>
        <w:br/>
      </w:r>
      <w:r w:rsidRPr="00CD2494">
        <w:rPr>
          <w:b w:val="0"/>
        </w:rPr>
        <w:t>Sensitivity analysis looking at how bin location affects the additive partitioning results. Analyses were calculated using ECV medians and age midpoints while iteratively shifting bins (of 0.3 Ma size) by 0.05 Ma. Filled points represent the original bin configuration used in our</w:t>
      </w:r>
      <w:r>
        <w:rPr>
          <w:b w:val="0"/>
        </w:rPr>
        <w:t xml:space="preserve"> main analyses (figs. 4 &amp; S8</w:t>
      </w:r>
      <w:r w:rsidRPr="00CD2494">
        <w:rPr>
          <w:b w:val="0"/>
        </w:rPr>
        <w:t>), while open points are the results of shifting bin location. The gap in points at c.3 Ma represents clade-level changes that could not be partitioned into anagenesis or first and last appearances components (see</w:t>
      </w:r>
      <w:r>
        <w:rPr>
          <w:b w:val="0"/>
        </w:rPr>
        <w:t xml:space="preserve"> “Materials and Methods”</w:t>
      </w:r>
      <w:r w:rsidRPr="00CD2494">
        <w:rPr>
          <w:b w:val="0"/>
        </w:rPr>
        <w:t>). Panels on the left were created using the less speciose taxonomy while those on the right were created using the more speciose one. The filled points are representative of the overall pattern created by the open points, demonstrating our results are robust to bin location.</w:t>
      </w:r>
      <w:r>
        <w:rPr>
          <w:b w:val="0"/>
        </w:rPr>
        <w:br w:type="page"/>
      </w:r>
      <w:r w:rsidR="00B7442F">
        <w:rPr>
          <w:noProof/>
        </w:rPr>
        <w:lastRenderedPageBreak/>
        <w:drawing>
          <wp:inline distT="0" distB="0" distL="0" distR="0" wp14:anchorId="2F8EEF96" wp14:editId="1601043E">
            <wp:extent cx="5943600" cy="5202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202555"/>
                    </a:xfrm>
                    <a:prstGeom prst="rect">
                      <a:avLst/>
                    </a:prstGeom>
                  </pic:spPr>
                </pic:pic>
              </a:graphicData>
            </a:graphic>
          </wp:inline>
        </w:drawing>
      </w:r>
    </w:p>
    <w:p w14:paraId="7418FFA6" w14:textId="43E8EED7" w:rsidR="00405618" w:rsidRDefault="00BE5243" w:rsidP="005B51B1">
      <w:pPr>
        <w:pStyle w:val="SMHeading"/>
        <w:spacing w:line="360" w:lineRule="auto"/>
        <w:rPr>
          <w:b w:val="0"/>
        </w:rPr>
      </w:pPr>
      <w:r>
        <w:rPr>
          <w:noProof/>
        </w:rPr>
        <w:t>Fig. S9</w:t>
      </w:r>
      <w:r w:rsidR="005B51B1">
        <w:rPr>
          <w:noProof/>
        </w:rPr>
        <w:br/>
      </w:r>
      <w:r w:rsidR="005B51B1" w:rsidRPr="00BA5CA2">
        <w:rPr>
          <w:b w:val="0"/>
        </w:rPr>
        <w:t xml:space="preserve">Sensitivity analyses testing the effect of bin size on the additive partitioning results. Analyses were conducted using ECV medians and age midpoints while iteratively increasing bin size from 0.2 to 0.3 to 0.4 Ma. Plots in the left column were created using a less speciose taxonomy while those on the right were created using the more speciose taxonomy. As bin size is increased, temporal resolution decreases, so the patterns are averaged and are of lower magnitude. Despite the drastic smoothing, many patterns still hold such as first and last appearance peaks at around 2 and 1.3 Ma, respectively, and anagenetic peaks at around 1.5, 0.9, and 0.5 Ma. It is interesting that the patterns between taxonomic schemes within a given bin size are more similar than are patterns between different bin sizes within a taxonomic scheme. This suggests that choice of </w:t>
      </w:r>
      <w:r w:rsidR="005B51B1" w:rsidRPr="00BA5CA2">
        <w:rPr>
          <w:b w:val="0"/>
        </w:rPr>
        <w:lastRenderedPageBreak/>
        <w:t>taxonomic designation will not radically change our results in any discernible way, and temporal resolution and scale may be more important in interpreting hominin macroevolutionary patterns, at least with regard to ECV.</w:t>
      </w:r>
    </w:p>
    <w:p w14:paraId="5A1F7B35" w14:textId="77777777" w:rsidR="00405618" w:rsidRDefault="00405618">
      <w:pPr>
        <w:spacing w:after="160" w:line="259" w:lineRule="auto"/>
        <w:rPr>
          <w:bCs/>
          <w:kern w:val="32"/>
          <w:szCs w:val="24"/>
        </w:rPr>
      </w:pPr>
      <w:r>
        <w:rPr>
          <w:b/>
        </w:rPr>
        <w:br w:type="page"/>
      </w:r>
    </w:p>
    <w:p w14:paraId="5B5291F7" w14:textId="064EF91A" w:rsidR="00A44DCB" w:rsidRPr="003624B1" w:rsidRDefault="00293D0C" w:rsidP="00E72D19">
      <w:pPr>
        <w:pStyle w:val="SMHeading"/>
        <w:spacing w:line="360" w:lineRule="auto"/>
        <w:rPr>
          <w:b w:val="0"/>
        </w:rPr>
      </w:pPr>
      <w:r>
        <w:rPr>
          <w:noProof/>
        </w:rPr>
        <w:lastRenderedPageBreak/>
        <w:drawing>
          <wp:inline distT="0" distB="0" distL="0" distR="0" wp14:anchorId="1A680AC9" wp14:editId="32B0360C">
            <wp:extent cx="5943600" cy="37820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82060"/>
                    </a:xfrm>
                    <a:prstGeom prst="rect">
                      <a:avLst/>
                    </a:prstGeom>
                  </pic:spPr>
                </pic:pic>
              </a:graphicData>
            </a:graphic>
          </wp:inline>
        </w:drawing>
      </w:r>
      <w:r w:rsidR="00A44DCB">
        <w:t>Fig. S10</w:t>
      </w:r>
      <w:r w:rsidR="00A44DCB">
        <w:br/>
      </w:r>
      <w:r w:rsidR="005410FD" w:rsidRPr="00CD2494">
        <w:rPr>
          <w:b w:val="0"/>
        </w:rPr>
        <w:t xml:space="preserve">Sensitivity analysis investigating how </w:t>
      </w:r>
      <w:r w:rsidR="005410FD">
        <w:rPr>
          <w:b w:val="0"/>
        </w:rPr>
        <w:t xml:space="preserve">the removal of </w:t>
      </w:r>
      <w:r w:rsidR="00FD2DCF">
        <w:rPr>
          <w:b w:val="0"/>
        </w:rPr>
        <w:t>especially incomplete or damaged</w:t>
      </w:r>
      <w:r w:rsidR="005410FD">
        <w:rPr>
          <w:b w:val="0"/>
        </w:rPr>
        <w:t xml:space="preserve"> specimens</w:t>
      </w:r>
      <w:r w:rsidR="005410FD" w:rsidRPr="00CD2494">
        <w:rPr>
          <w:b w:val="0"/>
        </w:rPr>
        <w:t xml:space="preserve"> </w:t>
      </w:r>
      <w:r w:rsidR="00E72D19">
        <w:rPr>
          <w:b w:val="0"/>
        </w:rPr>
        <w:t xml:space="preserve">(n = 10; see main text) </w:t>
      </w:r>
      <w:r w:rsidR="005410FD" w:rsidRPr="00CD2494">
        <w:rPr>
          <w:b w:val="0"/>
        </w:rPr>
        <w:t>affects the additive partitioning of clade-level changes into anagenesis and observed first and last appearances components.</w:t>
      </w:r>
      <w:r w:rsidR="003624B1">
        <w:rPr>
          <w:b w:val="0"/>
        </w:rPr>
        <w:t xml:space="preserve"> </w:t>
      </w:r>
      <w:r w:rsidR="003624B1" w:rsidRPr="003624B1">
        <w:rPr>
          <w:b w:val="0"/>
        </w:rPr>
        <w:t>Error bars are ± 1 SE calculated by randomly resampling age estimates</w:t>
      </w:r>
      <w:r w:rsidR="00E72D19" w:rsidRPr="00136BC1">
        <w:rPr>
          <w:b w:val="0"/>
        </w:rPr>
        <w:t xml:space="preserve">. </w:t>
      </w:r>
      <w:r w:rsidR="00E72D19">
        <w:rPr>
          <w:b w:val="0"/>
        </w:rPr>
        <w:t xml:space="preserve">Except for the removal of </w:t>
      </w:r>
      <w:r w:rsidR="009E5C84">
        <w:rPr>
          <w:b w:val="0"/>
        </w:rPr>
        <w:t>especially incomplete or damaged specimens</w:t>
      </w:r>
      <w:r w:rsidR="00E72D19">
        <w:rPr>
          <w:b w:val="0"/>
        </w:rPr>
        <w:t xml:space="preserve">, this is the same exact analysis that produced </w:t>
      </w:r>
      <w:r w:rsidR="003F05B8">
        <w:rPr>
          <w:b w:val="0"/>
        </w:rPr>
        <w:t>figure 4</w:t>
      </w:r>
      <w:r w:rsidR="00E72D19">
        <w:rPr>
          <w:b w:val="0"/>
        </w:rPr>
        <w:t xml:space="preserve">. The fact that the </w:t>
      </w:r>
      <w:r w:rsidR="000F244F">
        <w:rPr>
          <w:b w:val="0"/>
        </w:rPr>
        <w:t>patterns</w:t>
      </w:r>
      <w:r w:rsidR="00E72D19">
        <w:rPr>
          <w:b w:val="0"/>
        </w:rPr>
        <w:t xml:space="preserve"> from these two </w:t>
      </w:r>
      <w:r w:rsidR="000F244F">
        <w:rPr>
          <w:b w:val="0"/>
        </w:rPr>
        <w:t>figures</w:t>
      </w:r>
      <w:r w:rsidR="00E72D19">
        <w:rPr>
          <w:b w:val="0"/>
        </w:rPr>
        <w:t xml:space="preserve"> are virtually identical demonstrates that the inclusion </w:t>
      </w:r>
      <w:r w:rsidR="009D2BB2">
        <w:rPr>
          <w:b w:val="0"/>
        </w:rPr>
        <w:t xml:space="preserve">or exclusion </w:t>
      </w:r>
      <w:r w:rsidR="00E72D19">
        <w:rPr>
          <w:b w:val="0"/>
        </w:rPr>
        <w:t>of these specimens does not affect our results.</w:t>
      </w:r>
    </w:p>
    <w:p w14:paraId="1542ECBC" w14:textId="5072D419" w:rsidR="005B51B1" w:rsidRPr="00136BC1" w:rsidRDefault="005B51B1" w:rsidP="005B51B1">
      <w:pPr>
        <w:pStyle w:val="SMHeading"/>
        <w:spacing w:line="360" w:lineRule="auto"/>
        <w:rPr>
          <w:b w:val="0"/>
        </w:rPr>
      </w:pPr>
      <w:r>
        <w:rPr>
          <w:b w:val="0"/>
        </w:rPr>
        <w:br w:type="page"/>
      </w:r>
      <w:r>
        <w:lastRenderedPageBreak/>
        <w:t>Table S1</w:t>
      </w:r>
      <w:r w:rsidRPr="00136BC1">
        <w:t>.</w:t>
      </w:r>
      <w:r>
        <w:br/>
      </w:r>
      <w:r w:rsidRPr="00136BC1">
        <w:rPr>
          <w:b w:val="0"/>
        </w:rPr>
        <w:t xml:space="preserve">Summary table of the hominin species included in our analysis and their respective more and less speciose species designations (for the random effects ANOVA), number of measured specimens, total number of measurements, and median number of measurements per specimen (from different researchers). It should be noted that a “lumper” might be more likely to label </w:t>
      </w:r>
      <w:r w:rsidRPr="00136BC1">
        <w:rPr>
          <w:b w:val="0"/>
          <w:i/>
        </w:rPr>
        <w:t>Paranthropus boisei</w:t>
      </w:r>
      <w:r w:rsidRPr="00136BC1">
        <w:rPr>
          <w:b w:val="0"/>
        </w:rPr>
        <w:t xml:space="preserve"> as </w:t>
      </w:r>
      <w:r w:rsidRPr="00136BC1">
        <w:rPr>
          <w:b w:val="0"/>
          <w:i/>
        </w:rPr>
        <w:t>Australopithecus boisei</w:t>
      </w:r>
      <w:r w:rsidRPr="00136BC1">
        <w:rPr>
          <w:b w:val="0"/>
        </w:rPr>
        <w:t xml:space="preserve">, but for the purposes of our analyses, which species are aggregated is more important than the actual species name. </w:t>
      </w:r>
    </w:p>
    <w:tbl>
      <w:tblPr>
        <w:tblW w:w="8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5"/>
        <w:gridCol w:w="1630"/>
        <w:gridCol w:w="1350"/>
        <w:gridCol w:w="1800"/>
        <w:gridCol w:w="1710"/>
      </w:tblGrid>
      <w:tr w:rsidR="005B51B1" w:rsidRPr="000A5917" w14:paraId="1ED8914D" w14:textId="77777777" w:rsidTr="009C4CA4">
        <w:trPr>
          <w:trHeight w:val="872"/>
        </w:trPr>
        <w:tc>
          <w:tcPr>
            <w:tcW w:w="1875" w:type="dxa"/>
            <w:tcBorders>
              <w:bottom w:val="double" w:sz="4" w:space="0" w:color="auto"/>
            </w:tcBorders>
            <w:shd w:val="clear" w:color="auto" w:fill="auto"/>
          </w:tcPr>
          <w:p w14:paraId="43809554" w14:textId="77777777" w:rsidR="005B51B1" w:rsidRPr="00214621" w:rsidRDefault="005B51B1" w:rsidP="009C4CA4">
            <w:pPr>
              <w:rPr>
                <w:rFonts w:eastAsia="Calibri"/>
                <w:szCs w:val="24"/>
              </w:rPr>
            </w:pPr>
            <w:r w:rsidRPr="00214621">
              <w:rPr>
                <w:rFonts w:eastAsia="Calibri"/>
                <w:szCs w:val="24"/>
              </w:rPr>
              <w:t>More speciose taxonomy</w:t>
            </w:r>
          </w:p>
        </w:tc>
        <w:tc>
          <w:tcPr>
            <w:tcW w:w="1630" w:type="dxa"/>
            <w:tcBorders>
              <w:bottom w:val="double" w:sz="4" w:space="0" w:color="auto"/>
            </w:tcBorders>
            <w:shd w:val="clear" w:color="auto" w:fill="auto"/>
          </w:tcPr>
          <w:p w14:paraId="36ED97B9" w14:textId="77777777" w:rsidR="005B51B1" w:rsidRPr="00214621" w:rsidRDefault="005B51B1" w:rsidP="009C4CA4">
            <w:pPr>
              <w:rPr>
                <w:rFonts w:eastAsia="Calibri"/>
                <w:szCs w:val="24"/>
              </w:rPr>
            </w:pPr>
            <w:r w:rsidRPr="00214621">
              <w:rPr>
                <w:rFonts w:eastAsia="Calibri"/>
                <w:szCs w:val="24"/>
              </w:rPr>
              <w:t>Less speciose taxonomy</w:t>
            </w:r>
          </w:p>
        </w:tc>
        <w:tc>
          <w:tcPr>
            <w:tcW w:w="1350" w:type="dxa"/>
            <w:tcBorders>
              <w:bottom w:val="double" w:sz="4" w:space="0" w:color="auto"/>
            </w:tcBorders>
            <w:shd w:val="clear" w:color="auto" w:fill="auto"/>
          </w:tcPr>
          <w:p w14:paraId="53E276BD" w14:textId="77777777" w:rsidR="005B51B1" w:rsidRPr="00214621" w:rsidRDefault="005B51B1" w:rsidP="009C4CA4">
            <w:pPr>
              <w:rPr>
                <w:rFonts w:eastAsia="Calibri"/>
                <w:szCs w:val="24"/>
              </w:rPr>
            </w:pPr>
            <w:r w:rsidRPr="00214621">
              <w:rPr>
                <w:rFonts w:eastAsia="Calibri"/>
                <w:szCs w:val="24"/>
              </w:rPr>
              <w:t>Number of measured</w:t>
            </w:r>
          </w:p>
          <w:p w14:paraId="31F20508" w14:textId="77777777" w:rsidR="005B51B1" w:rsidRPr="00214621" w:rsidRDefault="005B51B1" w:rsidP="009C4CA4">
            <w:pPr>
              <w:rPr>
                <w:rFonts w:eastAsia="Calibri"/>
                <w:szCs w:val="24"/>
              </w:rPr>
            </w:pPr>
            <w:r w:rsidRPr="00214621">
              <w:rPr>
                <w:rFonts w:eastAsia="Calibri"/>
                <w:szCs w:val="24"/>
              </w:rPr>
              <w:t>specimens</w:t>
            </w:r>
          </w:p>
        </w:tc>
        <w:tc>
          <w:tcPr>
            <w:tcW w:w="1800" w:type="dxa"/>
            <w:tcBorders>
              <w:bottom w:val="double" w:sz="4" w:space="0" w:color="auto"/>
            </w:tcBorders>
            <w:shd w:val="clear" w:color="auto" w:fill="auto"/>
          </w:tcPr>
          <w:p w14:paraId="2CB7CB9D" w14:textId="77777777" w:rsidR="005B51B1" w:rsidRPr="00214621" w:rsidRDefault="005B51B1" w:rsidP="009C4CA4">
            <w:pPr>
              <w:rPr>
                <w:rFonts w:eastAsia="Calibri"/>
                <w:szCs w:val="24"/>
              </w:rPr>
            </w:pPr>
            <w:r w:rsidRPr="00214621">
              <w:rPr>
                <w:rFonts w:eastAsia="Calibri"/>
                <w:szCs w:val="24"/>
              </w:rPr>
              <w:t>Number of total measurements</w:t>
            </w:r>
          </w:p>
        </w:tc>
        <w:tc>
          <w:tcPr>
            <w:tcW w:w="1710" w:type="dxa"/>
            <w:tcBorders>
              <w:bottom w:val="double" w:sz="4" w:space="0" w:color="auto"/>
            </w:tcBorders>
            <w:shd w:val="clear" w:color="auto" w:fill="auto"/>
          </w:tcPr>
          <w:p w14:paraId="220B195C" w14:textId="77777777" w:rsidR="005B51B1" w:rsidRPr="00214621" w:rsidRDefault="005B51B1" w:rsidP="009C4CA4">
            <w:pPr>
              <w:rPr>
                <w:rFonts w:eastAsia="Calibri"/>
                <w:szCs w:val="24"/>
              </w:rPr>
            </w:pPr>
            <w:r w:rsidRPr="00214621">
              <w:rPr>
                <w:rFonts w:eastAsia="Calibri"/>
                <w:szCs w:val="24"/>
              </w:rPr>
              <w:t>Median number of measurements per specimen</w:t>
            </w:r>
          </w:p>
        </w:tc>
      </w:tr>
      <w:tr w:rsidR="005B51B1" w:rsidRPr="000A5917" w14:paraId="64A876BF" w14:textId="77777777" w:rsidTr="009C4CA4">
        <w:tc>
          <w:tcPr>
            <w:tcW w:w="1875" w:type="dxa"/>
            <w:tcBorders>
              <w:top w:val="double" w:sz="4" w:space="0" w:color="auto"/>
            </w:tcBorders>
            <w:shd w:val="clear" w:color="auto" w:fill="auto"/>
          </w:tcPr>
          <w:p w14:paraId="754AF742" w14:textId="77777777" w:rsidR="005B51B1" w:rsidRPr="00214621" w:rsidRDefault="005B51B1" w:rsidP="009C4CA4">
            <w:pPr>
              <w:rPr>
                <w:rFonts w:eastAsia="Calibri"/>
                <w:i/>
                <w:szCs w:val="24"/>
              </w:rPr>
            </w:pPr>
            <w:r w:rsidRPr="00214621">
              <w:rPr>
                <w:rFonts w:eastAsia="Calibri"/>
                <w:i/>
                <w:szCs w:val="24"/>
              </w:rPr>
              <w:t>Australopithecus afarensis</w:t>
            </w:r>
          </w:p>
        </w:tc>
        <w:tc>
          <w:tcPr>
            <w:tcW w:w="1630" w:type="dxa"/>
            <w:tcBorders>
              <w:top w:val="double" w:sz="4" w:space="0" w:color="auto"/>
            </w:tcBorders>
            <w:shd w:val="clear" w:color="auto" w:fill="auto"/>
          </w:tcPr>
          <w:p w14:paraId="57FC9955" w14:textId="77777777" w:rsidR="005B51B1" w:rsidRPr="00214621" w:rsidRDefault="005B51B1" w:rsidP="009C4CA4">
            <w:pPr>
              <w:rPr>
                <w:rFonts w:eastAsia="Calibri"/>
                <w:szCs w:val="24"/>
              </w:rPr>
            </w:pPr>
            <w:r w:rsidRPr="00214621">
              <w:rPr>
                <w:rFonts w:eastAsia="Calibri"/>
                <w:szCs w:val="24"/>
              </w:rPr>
              <w:t>Same</w:t>
            </w:r>
          </w:p>
        </w:tc>
        <w:tc>
          <w:tcPr>
            <w:tcW w:w="1350" w:type="dxa"/>
            <w:tcBorders>
              <w:top w:val="double" w:sz="4" w:space="0" w:color="auto"/>
            </w:tcBorders>
            <w:shd w:val="clear" w:color="auto" w:fill="auto"/>
          </w:tcPr>
          <w:p w14:paraId="1093438C" w14:textId="77777777" w:rsidR="005B51B1" w:rsidRPr="00214621" w:rsidRDefault="005B51B1" w:rsidP="009C4CA4">
            <w:pPr>
              <w:rPr>
                <w:rFonts w:eastAsia="Calibri"/>
                <w:szCs w:val="24"/>
              </w:rPr>
            </w:pPr>
            <w:r w:rsidRPr="00214621">
              <w:rPr>
                <w:rFonts w:eastAsia="Calibri"/>
                <w:szCs w:val="24"/>
              </w:rPr>
              <w:t>6</w:t>
            </w:r>
          </w:p>
        </w:tc>
        <w:tc>
          <w:tcPr>
            <w:tcW w:w="1800" w:type="dxa"/>
            <w:tcBorders>
              <w:top w:val="double" w:sz="4" w:space="0" w:color="auto"/>
            </w:tcBorders>
            <w:shd w:val="clear" w:color="auto" w:fill="auto"/>
          </w:tcPr>
          <w:p w14:paraId="7C931A63" w14:textId="77777777" w:rsidR="005B51B1" w:rsidRPr="00214621" w:rsidRDefault="005B51B1" w:rsidP="009C4CA4">
            <w:pPr>
              <w:rPr>
                <w:rFonts w:eastAsia="Calibri"/>
                <w:szCs w:val="24"/>
              </w:rPr>
            </w:pPr>
            <w:r w:rsidRPr="00214621">
              <w:rPr>
                <w:rFonts w:eastAsia="Calibri"/>
                <w:szCs w:val="24"/>
              </w:rPr>
              <w:t>9</w:t>
            </w:r>
          </w:p>
        </w:tc>
        <w:tc>
          <w:tcPr>
            <w:tcW w:w="1710" w:type="dxa"/>
            <w:tcBorders>
              <w:top w:val="double" w:sz="4" w:space="0" w:color="auto"/>
            </w:tcBorders>
            <w:shd w:val="clear" w:color="auto" w:fill="auto"/>
          </w:tcPr>
          <w:p w14:paraId="32684193" w14:textId="77777777" w:rsidR="005B51B1" w:rsidRPr="00214621" w:rsidRDefault="005B51B1" w:rsidP="009C4CA4">
            <w:pPr>
              <w:rPr>
                <w:rFonts w:eastAsia="Calibri"/>
                <w:szCs w:val="24"/>
              </w:rPr>
            </w:pPr>
            <w:r w:rsidRPr="00214621">
              <w:rPr>
                <w:rFonts w:eastAsia="Calibri"/>
                <w:szCs w:val="24"/>
              </w:rPr>
              <w:t>1.5</w:t>
            </w:r>
          </w:p>
        </w:tc>
      </w:tr>
      <w:tr w:rsidR="005B51B1" w:rsidRPr="000A5917" w14:paraId="50F4ACDB" w14:textId="77777777" w:rsidTr="009C4CA4">
        <w:tc>
          <w:tcPr>
            <w:tcW w:w="1875" w:type="dxa"/>
            <w:shd w:val="clear" w:color="auto" w:fill="auto"/>
          </w:tcPr>
          <w:p w14:paraId="2DE06F21" w14:textId="77777777" w:rsidR="005B51B1" w:rsidRPr="00214621" w:rsidRDefault="005B51B1" w:rsidP="009C4CA4">
            <w:pPr>
              <w:rPr>
                <w:rFonts w:eastAsia="Calibri"/>
                <w:i/>
                <w:szCs w:val="24"/>
              </w:rPr>
            </w:pPr>
            <w:r w:rsidRPr="00214621">
              <w:rPr>
                <w:rFonts w:eastAsia="Calibri"/>
                <w:i/>
                <w:szCs w:val="24"/>
              </w:rPr>
              <w:t>Australopithecus africanus</w:t>
            </w:r>
          </w:p>
        </w:tc>
        <w:tc>
          <w:tcPr>
            <w:tcW w:w="1630" w:type="dxa"/>
            <w:shd w:val="clear" w:color="auto" w:fill="auto"/>
          </w:tcPr>
          <w:p w14:paraId="1614147D"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1B62CE89" w14:textId="77777777" w:rsidR="005B51B1" w:rsidRPr="00214621" w:rsidRDefault="005B51B1" w:rsidP="009C4CA4">
            <w:pPr>
              <w:rPr>
                <w:rFonts w:eastAsia="Calibri"/>
                <w:szCs w:val="24"/>
              </w:rPr>
            </w:pPr>
            <w:r w:rsidRPr="00214621">
              <w:rPr>
                <w:rFonts w:eastAsia="Calibri"/>
                <w:szCs w:val="24"/>
              </w:rPr>
              <w:t>9</w:t>
            </w:r>
          </w:p>
        </w:tc>
        <w:tc>
          <w:tcPr>
            <w:tcW w:w="1800" w:type="dxa"/>
            <w:shd w:val="clear" w:color="auto" w:fill="auto"/>
          </w:tcPr>
          <w:p w14:paraId="389A306B" w14:textId="77777777" w:rsidR="005B51B1" w:rsidRPr="00214621" w:rsidRDefault="005B51B1" w:rsidP="009C4CA4">
            <w:pPr>
              <w:rPr>
                <w:rFonts w:eastAsia="Calibri"/>
                <w:szCs w:val="24"/>
              </w:rPr>
            </w:pPr>
            <w:r w:rsidRPr="00214621">
              <w:rPr>
                <w:rFonts w:eastAsia="Calibri"/>
                <w:szCs w:val="24"/>
              </w:rPr>
              <w:t>28</w:t>
            </w:r>
          </w:p>
        </w:tc>
        <w:tc>
          <w:tcPr>
            <w:tcW w:w="1710" w:type="dxa"/>
            <w:shd w:val="clear" w:color="auto" w:fill="auto"/>
          </w:tcPr>
          <w:p w14:paraId="0E4039C3" w14:textId="77777777" w:rsidR="005B51B1" w:rsidRPr="00214621" w:rsidRDefault="005B51B1" w:rsidP="009C4CA4">
            <w:pPr>
              <w:rPr>
                <w:rFonts w:eastAsia="Calibri"/>
                <w:szCs w:val="24"/>
              </w:rPr>
            </w:pPr>
            <w:r w:rsidRPr="00214621">
              <w:rPr>
                <w:rFonts w:eastAsia="Calibri"/>
                <w:szCs w:val="24"/>
              </w:rPr>
              <w:t>3</w:t>
            </w:r>
          </w:p>
        </w:tc>
      </w:tr>
      <w:tr w:rsidR="005B51B1" w:rsidRPr="000A5917" w14:paraId="3C5930F1" w14:textId="77777777" w:rsidTr="009C4CA4">
        <w:tc>
          <w:tcPr>
            <w:tcW w:w="1875" w:type="dxa"/>
            <w:shd w:val="clear" w:color="auto" w:fill="auto"/>
          </w:tcPr>
          <w:p w14:paraId="55981E2E" w14:textId="77777777" w:rsidR="005B51B1" w:rsidRPr="00214621" w:rsidRDefault="005B51B1" w:rsidP="009C4CA4">
            <w:pPr>
              <w:rPr>
                <w:rFonts w:eastAsia="Calibri"/>
                <w:i/>
                <w:szCs w:val="24"/>
              </w:rPr>
            </w:pPr>
            <w:r w:rsidRPr="00214621">
              <w:rPr>
                <w:rFonts w:eastAsia="Calibri"/>
                <w:i/>
                <w:szCs w:val="24"/>
              </w:rPr>
              <w:t>Australopithecus garhi</w:t>
            </w:r>
          </w:p>
        </w:tc>
        <w:tc>
          <w:tcPr>
            <w:tcW w:w="1630" w:type="dxa"/>
            <w:shd w:val="clear" w:color="auto" w:fill="auto"/>
          </w:tcPr>
          <w:p w14:paraId="47CAB5A2"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46A6E968" w14:textId="77777777" w:rsidR="005B51B1" w:rsidRPr="00214621" w:rsidRDefault="005B51B1" w:rsidP="009C4CA4">
            <w:pPr>
              <w:rPr>
                <w:rFonts w:eastAsia="Calibri"/>
                <w:szCs w:val="24"/>
              </w:rPr>
            </w:pPr>
            <w:r w:rsidRPr="00214621">
              <w:rPr>
                <w:rFonts w:eastAsia="Calibri"/>
                <w:szCs w:val="24"/>
              </w:rPr>
              <w:t>1</w:t>
            </w:r>
          </w:p>
        </w:tc>
        <w:tc>
          <w:tcPr>
            <w:tcW w:w="1800" w:type="dxa"/>
            <w:shd w:val="clear" w:color="auto" w:fill="auto"/>
          </w:tcPr>
          <w:p w14:paraId="0C5527A8" w14:textId="77777777" w:rsidR="005B51B1" w:rsidRPr="00214621" w:rsidRDefault="005B51B1" w:rsidP="009C4CA4">
            <w:pPr>
              <w:rPr>
                <w:rFonts w:eastAsia="Calibri"/>
                <w:szCs w:val="24"/>
              </w:rPr>
            </w:pPr>
            <w:r w:rsidRPr="00214621">
              <w:rPr>
                <w:rFonts w:eastAsia="Calibri"/>
                <w:szCs w:val="24"/>
              </w:rPr>
              <w:t>1</w:t>
            </w:r>
          </w:p>
        </w:tc>
        <w:tc>
          <w:tcPr>
            <w:tcW w:w="1710" w:type="dxa"/>
            <w:shd w:val="clear" w:color="auto" w:fill="auto"/>
          </w:tcPr>
          <w:p w14:paraId="39DF0896" w14:textId="77777777" w:rsidR="005B51B1" w:rsidRPr="00214621" w:rsidRDefault="005B51B1" w:rsidP="009C4CA4">
            <w:pPr>
              <w:rPr>
                <w:rFonts w:eastAsia="Calibri"/>
                <w:szCs w:val="24"/>
              </w:rPr>
            </w:pPr>
            <w:r w:rsidRPr="00214621">
              <w:rPr>
                <w:rFonts w:eastAsia="Calibri"/>
                <w:szCs w:val="24"/>
              </w:rPr>
              <w:t>1</w:t>
            </w:r>
          </w:p>
        </w:tc>
      </w:tr>
      <w:tr w:rsidR="005B51B1" w:rsidRPr="000A5917" w14:paraId="1168C4F1" w14:textId="77777777" w:rsidTr="009C4CA4">
        <w:tc>
          <w:tcPr>
            <w:tcW w:w="1875" w:type="dxa"/>
            <w:shd w:val="clear" w:color="auto" w:fill="auto"/>
          </w:tcPr>
          <w:p w14:paraId="44B76E35" w14:textId="77777777" w:rsidR="005B51B1" w:rsidRPr="00214621" w:rsidRDefault="005B51B1" w:rsidP="009C4CA4">
            <w:pPr>
              <w:rPr>
                <w:rFonts w:eastAsia="Calibri"/>
                <w:i/>
                <w:szCs w:val="24"/>
              </w:rPr>
            </w:pPr>
            <w:r w:rsidRPr="00214621">
              <w:rPr>
                <w:rFonts w:eastAsia="Calibri"/>
                <w:i/>
                <w:szCs w:val="24"/>
              </w:rPr>
              <w:t>Australopithecus sediba</w:t>
            </w:r>
          </w:p>
        </w:tc>
        <w:tc>
          <w:tcPr>
            <w:tcW w:w="1630" w:type="dxa"/>
            <w:shd w:val="clear" w:color="auto" w:fill="auto"/>
          </w:tcPr>
          <w:p w14:paraId="4C0BCD3B"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7BCD3270" w14:textId="77777777" w:rsidR="005B51B1" w:rsidRPr="00214621" w:rsidRDefault="005B51B1" w:rsidP="009C4CA4">
            <w:pPr>
              <w:rPr>
                <w:rFonts w:eastAsia="Calibri"/>
                <w:szCs w:val="24"/>
              </w:rPr>
            </w:pPr>
            <w:r w:rsidRPr="00214621">
              <w:rPr>
                <w:rFonts w:eastAsia="Calibri"/>
                <w:szCs w:val="24"/>
              </w:rPr>
              <w:t>1</w:t>
            </w:r>
          </w:p>
        </w:tc>
        <w:tc>
          <w:tcPr>
            <w:tcW w:w="1800" w:type="dxa"/>
            <w:shd w:val="clear" w:color="auto" w:fill="auto"/>
          </w:tcPr>
          <w:p w14:paraId="0A14E302" w14:textId="77777777" w:rsidR="005B51B1" w:rsidRPr="00214621" w:rsidRDefault="005B51B1" w:rsidP="009C4CA4">
            <w:pPr>
              <w:rPr>
                <w:rFonts w:eastAsia="Calibri"/>
                <w:szCs w:val="24"/>
              </w:rPr>
            </w:pPr>
            <w:r w:rsidRPr="00214621">
              <w:rPr>
                <w:rFonts w:eastAsia="Calibri"/>
                <w:szCs w:val="24"/>
              </w:rPr>
              <w:t>1</w:t>
            </w:r>
          </w:p>
        </w:tc>
        <w:tc>
          <w:tcPr>
            <w:tcW w:w="1710" w:type="dxa"/>
            <w:shd w:val="clear" w:color="auto" w:fill="auto"/>
          </w:tcPr>
          <w:p w14:paraId="5E5581FE" w14:textId="77777777" w:rsidR="005B51B1" w:rsidRPr="00214621" w:rsidRDefault="005B51B1" w:rsidP="009C4CA4">
            <w:pPr>
              <w:rPr>
                <w:rFonts w:eastAsia="Calibri"/>
                <w:szCs w:val="24"/>
              </w:rPr>
            </w:pPr>
            <w:r w:rsidRPr="00214621">
              <w:rPr>
                <w:rFonts w:eastAsia="Calibri"/>
                <w:szCs w:val="24"/>
              </w:rPr>
              <w:t>1</w:t>
            </w:r>
          </w:p>
        </w:tc>
      </w:tr>
      <w:tr w:rsidR="005B51B1" w:rsidRPr="000A5917" w14:paraId="0BD3AF7E" w14:textId="77777777" w:rsidTr="009C4CA4">
        <w:tc>
          <w:tcPr>
            <w:tcW w:w="1875" w:type="dxa"/>
            <w:shd w:val="clear" w:color="auto" w:fill="auto"/>
          </w:tcPr>
          <w:p w14:paraId="7B5818F4" w14:textId="77777777" w:rsidR="005B51B1" w:rsidRPr="00214621" w:rsidRDefault="005B51B1" w:rsidP="009C4CA4">
            <w:pPr>
              <w:rPr>
                <w:rFonts w:eastAsia="Calibri"/>
                <w:i/>
                <w:szCs w:val="24"/>
              </w:rPr>
            </w:pPr>
            <w:r w:rsidRPr="00214621">
              <w:rPr>
                <w:rFonts w:eastAsia="Calibri"/>
                <w:i/>
                <w:szCs w:val="24"/>
              </w:rPr>
              <w:t>Paranthropus aethiopicus</w:t>
            </w:r>
          </w:p>
        </w:tc>
        <w:tc>
          <w:tcPr>
            <w:tcW w:w="1630" w:type="dxa"/>
            <w:shd w:val="clear" w:color="auto" w:fill="auto"/>
          </w:tcPr>
          <w:p w14:paraId="7DC24CD0"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2209B14A" w14:textId="77777777" w:rsidR="005B51B1" w:rsidRPr="00214621" w:rsidRDefault="005B51B1" w:rsidP="009C4CA4">
            <w:pPr>
              <w:rPr>
                <w:rFonts w:eastAsia="Calibri"/>
                <w:szCs w:val="24"/>
              </w:rPr>
            </w:pPr>
            <w:r w:rsidRPr="00214621">
              <w:rPr>
                <w:rFonts w:eastAsia="Calibri"/>
                <w:szCs w:val="24"/>
              </w:rPr>
              <w:t>3</w:t>
            </w:r>
          </w:p>
        </w:tc>
        <w:tc>
          <w:tcPr>
            <w:tcW w:w="1800" w:type="dxa"/>
            <w:shd w:val="clear" w:color="auto" w:fill="auto"/>
          </w:tcPr>
          <w:p w14:paraId="68E322BF" w14:textId="77777777" w:rsidR="005B51B1" w:rsidRPr="00214621" w:rsidRDefault="005B51B1" w:rsidP="009C4CA4">
            <w:pPr>
              <w:rPr>
                <w:rFonts w:eastAsia="Calibri"/>
                <w:szCs w:val="24"/>
              </w:rPr>
            </w:pPr>
            <w:r w:rsidRPr="00214621">
              <w:rPr>
                <w:rFonts w:eastAsia="Calibri"/>
                <w:szCs w:val="24"/>
              </w:rPr>
              <w:t>3</w:t>
            </w:r>
          </w:p>
        </w:tc>
        <w:tc>
          <w:tcPr>
            <w:tcW w:w="1710" w:type="dxa"/>
            <w:shd w:val="clear" w:color="auto" w:fill="auto"/>
          </w:tcPr>
          <w:p w14:paraId="6CB8E26F" w14:textId="77777777" w:rsidR="005B51B1" w:rsidRPr="00214621" w:rsidRDefault="005B51B1" w:rsidP="009C4CA4">
            <w:pPr>
              <w:rPr>
                <w:rFonts w:eastAsia="Calibri"/>
                <w:szCs w:val="24"/>
              </w:rPr>
            </w:pPr>
            <w:r w:rsidRPr="00214621">
              <w:rPr>
                <w:rFonts w:eastAsia="Calibri"/>
                <w:szCs w:val="24"/>
              </w:rPr>
              <w:t>1</w:t>
            </w:r>
          </w:p>
        </w:tc>
      </w:tr>
      <w:tr w:rsidR="005B51B1" w:rsidRPr="000A5917" w14:paraId="031CC98A" w14:textId="77777777" w:rsidTr="009C4CA4">
        <w:tc>
          <w:tcPr>
            <w:tcW w:w="1875" w:type="dxa"/>
            <w:shd w:val="clear" w:color="auto" w:fill="auto"/>
          </w:tcPr>
          <w:p w14:paraId="53002F4B" w14:textId="77777777" w:rsidR="005B51B1" w:rsidRPr="00214621" w:rsidRDefault="005B51B1" w:rsidP="009C4CA4">
            <w:pPr>
              <w:rPr>
                <w:rFonts w:eastAsia="Calibri"/>
                <w:i/>
                <w:szCs w:val="24"/>
              </w:rPr>
            </w:pPr>
            <w:r w:rsidRPr="00214621">
              <w:rPr>
                <w:rFonts w:eastAsia="Calibri"/>
                <w:i/>
                <w:szCs w:val="24"/>
              </w:rPr>
              <w:t>Paranthropus robustus</w:t>
            </w:r>
          </w:p>
        </w:tc>
        <w:tc>
          <w:tcPr>
            <w:tcW w:w="1630" w:type="dxa"/>
            <w:shd w:val="clear" w:color="auto" w:fill="auto"/>
          </w:tcPr>
          <w:p w14:paraId="492324C4"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644648D8" w14:textId="77777777" w:rsidR="005B51B1" w:rsidRPr="00214621" w:rsidRDefault="005B51B1" w:rsidP="009C4CA4">
            <w:pPr>
              <w:rPr>
                <w:rFonts w:eastAsia="Calibri"/>
                <w:szCs w:val="24"/>
              </w:rPr>
            </w:pPr>
            <w:r w:rsidRPr="00214621">
              <w:rPr>
                <w:rFonts w:eastAsia="Calibri"/>
                <w:szCs w:val="24"/>
              </w:rPr>
              <w:t>6</w:t>
            </w:r>
          </w:p>
        </w:tc>
        <w:tc>
          <w:tcPr>
            <w:tcW w:w="1800" w:type="dxa"/>
            <w:shd w:val="clear" w:color="auto" w:fill="auto"/>
          </w:tcPr>
          <w:p w14:paraId="776577E8" w14:textId="77777777" w:rsidR="005B51B1" w:rsidRPr="00214621" w:rsidRDefault="005B51B1" w:rsidP="009C4CA4">
            <w:pPr>
              <w:rPr>
                <w:rFonts w:eastAsia="Calibri"/>
                <w:szCs w:val="24"/>
              </w:rPr>
            </w:pPr>
            <w:r w:rsidRPr="00214621">
              <w:rPr>
                <w:rFonts w:eastAsia="Calibri"/>
                <w:szCs w:val="24"/>
              </w:rPr>
              <w:t>9</w:t>
            </w:r>
          </w:p>
        </w:tc>
        <w:tc>
          <w:tcPr>
            <w:tcW w:w="1710" w:type="dxa"/>
            <w:shd w:val="clear" w:color="auto" w:fill="auto"/>
          </w:tcPr>
          <w:p w14:paraId="0AB5FFA3" w14:textId="77777777" w:rsidR="005B51B1" w:rsidRPr="00214621" w:rsidRDefault="005B51B1" w:rsidP="009C4CA4">
            <w:pPr>
              <w:rPr>
                <w:rFonts w:eastAsia="Calibri"/>
                <w:szCs w:val="24"/>
              </w:rPr>
            </w:pPr>
            <w:r w:rsidRPr="00214621">
              <w:rPr>
                <w:rFonts w:eastAsia="Calibri"/>
                <w:szCs w:val="24"/>
              </w:rPr>
              <w:t>1</w:t>
            </w:r>
          </w:p>
        </w:tc>
      </w:tr>
      <w:tr w:rsidR="005B51B1" w:rsidRPr="000A5917" w14:paraId="231F7857" w14:textId="77777777" w:rsidTr="009C4CA4">
        <w:tc>
          <w:tcPr>
            <w:tcW w:w="1875" w:type="dxa"/>
            <w:shd w:val="clear" w:color="auto" w:fill="auto"/>
          </w:tcPr>
          <w:p w14:paraId="026C64E4" w14:textId="77777777" w:rsidR="005B51B1" w:rsidRPr="00214621" w:rsidRDefault="005B51B1" w:rsidP="009C4CA4">
            <w:pPr>
              <w:rPr>
                <w:rFonts w:eastAsia="Calibri"/>
                <w:i/>
                <w:szCs w:val="24"/>
              </w:rPr>
            </w:pPr>
            <w:r w:rsidRPr="00214621">
              <w:rPr>
                <w:rFonts w:eastAsia="Calibri"/>
                <w:i/>
                <w:szCs w:val="24"/>
              </w:rPr>
              <w:t>Paranthropus boisei</w:t>
            </w:r>
          </w:p>
        </w:tc>
        <w:tc>
          <w:tcPr>
            <w:tcW w:w="1630" w:type="dxa"/>
            <w:shd w:val="clear" w:color="auto" w:fill="auto"/>
          </w:tcPr>
          <w:p w14:paraId="13672353" w14:textId="77777777" w:rsidR="005B51B1" w:rsidRPr="00214621" w:rsidRDefault="005B51B1" w:rsidP="009C4CA4">
            <w:pPr>
              <w:rPr>
                <w:rFonts w:eastAsia="Calibri"/>
                <w:szCs w:val="24"/>
              </w:rPr>
            </w:pPr>
            <w:r w:rsidRPr="00214621">
              <w:rPr>
                <w:rFonts w:eastAsia="Calibri"/>
                <w:szCs w:val="24"/>
              </w:rPr>
              <w:t>Same</w:t>
            </w:r>
          </w:p>
        </w:tc>
        <w:tc>
          <w:tcPr>
            <w:tcW w:w="1350" w:type="dxa"/>
            <w:shd w:val="clear" w:color="auto" w:fill="auto"/>
          </w:tcPr>
          <w:p w14:paraId="76C2DCDE" w14:textId="77777777" w:rsidR="005B51B1" w:rsidRPr="00214621" w:rsidRDefault="005B51B1" w:rsidP="009C4CA4">
            <w:pPr>
              <w:rPr>
                <w:rFonts w:eastAsia="Calibri"/>
                <w:szCs w:val="24"/>
              </w:rPr>
            </w:pPr>
            <w:r w:rsidRPr="00214621">
              <w:rPr>
                <w:rFonts w:eastAsia="Calibri"/>
                <w:szCs w:val="24"/>
              </w:rPr>
              <w:t>8</w:t>
            </w:r>
          </w:p>
        </w:tc>
        <w:tc>
          <w:tcPr>
            <w:tcW w:w="1800" w:type="dxa"/>
            <w:shd w:val="clear" w:color="auto" w:fill="auto"/>
          </w:tcPr>
          <w:p w14:paraId="2CA0324B" w14:textId="77777777" w:rsidR="005B51B1" w:rsidRPr="00214621" w:rsidRDefault="005B51B1" w:rsidP="009C4CA4">
            <w:pPr>
              <w:rPr>
                <w:rFonts w:eastAsia="Calibri"/>
                <w:szCs w:val="24"/>
              </w:rPr>
            </w:pPr>
            <w:r w:rsidRPr="00214621">
              <w:rPr>
                <w:rFonts w:eastAsia="Calibri"/>
                <w:szCs w:val="24"/>
              </w:rPr>
              <w:t>17</w:t>
            </w:r>
          </w:p>
        </w:tc>
        <w:tc>
          <w:tcPr>
            <w:tcW w:w="1710" w:type="dxa"/>
            <w:shd w:val="clear" w:color="auto" w:fill="auto"/>
          </w:tcPr>
          <w:p w14:paraId="18B64270" w14:textId="77777777" w:rsidR="005B51B1" w:rsidRPr="00214621" w:rsidRDefault="005B51B1" w:rsidP="009C4CA4">
            <w:pPr>
              <w:rPr>
                <w:rFonts w:eastAsia="Calibri"/>
                <w:szCs w:val="24"/>
              </w:rPr>
            </w:pPr>
            <w:r w:rsidRPr="00214621">
              <w:rPr>
                <w:rFonts w:eastAsia="Calibri"/>
                <w:szCs w:val="24"/>
              </w:rPr>
              <w:t>2</w:t>
            </w:r>
          </w:p>
        </w:tc>
      </w:tr>
      <w:tr w:rsidR="005B51B1" w:rsidRPr="000A5917" w14:paraId="771376D3" w14:textId="77777777" w:rsidTr="009C4CA4">
        <w:tc>
          <w:tcPr>
            <w:tcW w:w="1875" w:type="dxa"/>
            <w:shd w:val="clear" w:color="auto" w:fill="auto"/>
          </w:tcPr>
          <w:p w14:paraId="0958572F" w14:textId="77777777" w:rsidR="005B51B1" w:rsidRPr="00214621" w:rsidRDefault="005B51B1" w:rsidP="009C4CA4">
            <w:pPr>
              <w:rPr>
                <w:rFonts w:eastAsia="Calibri"/>
                <w:i/>
                <w:szCs w:val="24"/>
              </w:rPr>
            </w:pPr>
            <w:r w:rsidRPr="00214621">
              <w:rPr>
                <w:rFonts w:eastAsia="Calibri"/>
                <w:i/>
                <w:szCs w:val="24"/>
              </w:rPr>
              <w:t>Homo habilis sensu stricto</w:t>
            </w:r>
          </w:p>
        </w:tc>
        <w:tc>
          <w:tcPr>
            <w:tcW w:w="1630" w:type="dxa"/>
            <w:shd w:val="clear" w:color="auto" w:fill="auto"/>
          </w:tcPr>
          <w:p w14:paraId="1D1554AF" w14:textId="77777777" w:rsidR="005B51B1" w:rsidRPr="00214621" w:rsidRDefault="005B51B1" w:rsidP="009C4CA4">
            <w:pPr>
              <w:rPr>
                <w:rFonts w:eastAsia="Calibri"/>
                <w:i/>
                <w:szCs w:val="24"/>
              </w:rPr>
            </w:pPr>
            <w:r w:rsidRPr="00214621">
              <w:rPr>
                <w:rFonts w:eastAsia="Calibri"/>
                <w:i/>
                <w:szCs w:val="24"/>
              </w:rPr>
              <w:t>Homo habilis sensu lato</w:t>
            </w:r>
          </w:p>
        </w:tc>
        <w:tc>
          <w:tcPr>
            <w:tcW w:w="1350" w:type="dxa"/>
            <w:shd w:val="clear" w:color="auto" w:fill="auto"/>
          </w:tcPr>
          <w:p w14:paraId="565E704D" w14:textId="77777777" w:rsidR="005B51B1" w:rsidRPr="00214621" w:rsidRDefault="005B51B1" w:rsidP="009C4CA4">
            <w:pPr>
              <w:rPr>
                <w:rFonts w:eastAsia="Calibri"/>
                <w:szCs w:val="24"/>
              </w:rPr>
            </w:pPr>
            <w:r w:rsidRPr="00214621">
              <w:rPr>
                <w:rFonts w:eastAsia="Calibri"/>
                <w:szCs w:val="24"/>
              </w:rPr>
              <w:t>6</w:t>
            </w:r>
          </w:p>
        </w:tc>
        <w:tc>
          <w:tcPr>
            <w:tcW w:w="1800" w:type="dxa"/>
            <w:shd w:val="clear" w:color="auto" w:fill="auto"/>
          </w:tcPr>
          <w:p w14:paraId="000712B1" w14:textId="77777777" w:rsidR="005B51B1" w:rsidRPr="00214621" w:rsidRDefault="005B51B1" w:rsidP="009C4CA4">
            <w:pPr>
              <w:rPr>
                <w:rFonts w:eastAsia="Calibri"/>
                <w:szCs w:val="24"/>
              </w:rPr>
            </w:pPr>
            <w:r w:rsidRPr="00214621">
              <w:rPr>
                <w:rFonts w:eastAsia="Calibri"/>
                <w:szCs w:val="24"/>
              </w:rPr>
              <w:t>18</w:t>
            </w:r>
          </w:p>
        </w:tc>
        <w:tc>
          <w:tcPr>
            <w:tcW w:w="1710" w:type="dxa"/>
            <w:shd w:val="clear" w:color="auto" w:fill="auto"/>
          </w:tcPr>
          <w:p w14:paraId="2A64C62D" w14:textId="77777777" w:rsidR="005B51B1" w:rsidRPr="00214621" w:rsidRDefault="005B51B1" w:rsidP="009C4CA4">
            <w:pPr>
              <w:rPr>
                <w:rFonts w:eastAsia="Calibri"/>
                <w:szCs w:val="24"/>
              </w:rPr>
            </w:pPr>
            <w:r w:rsidRPr="00214621">
              <w:rPr>
                <w:rFonts w:eastAsia="Calibri"/>
                <w:szCs w:val="24"/>
              </w:rPr>
              <w:t>3</w:t>
            </w:r>
          </w:p>
        </w:tc>
      </w:tr>
      <w:tr w:rsidR="005B51B1" w:rsidRPr="000A5917" w14:paraId="6CF57F64" w14:textId="77777777" w:rsidTr="009C4CA4">
        <w:tc>
          <w:tcPr>
            <w:tcW w:w="1875" w:type="dxa"/>
            <w:shd w:val="clear" w:color="auto" w:fill="auto"/>
          </w:tcPr>
          <w:p w14:paraId="40C27942" w14:textId="77777777" w:rsidR="005B51B1" w:rsidRPr="00214621" w:rsidRDefault="005B51B1" w:rsidP="009C4CA4">
            <w:pPr>
              <w:rPr>
                <w:rFonts w:eastAsia="Calibri"/>
                <w:i/>
                <w:szCs w:val="24"/>
              </w:rPr>
            </w:pPr>
            <w:r w:rsidRPr="00214621">
              <w:rPr>
                <w:rFonts w:eastAsia="Calibri"/>
                <w:i/>
                <w:szCs w:val="24"/>
              </w:rPr>
              <w:t>Homo rudolfensis</w:t>
            </w:r>
          </w:p>
        </w:tc>
        <w:tc>
          <w:tcPr>
            <w:tcW w:w="1630" w:type="dxa"/>
            <w:shd w:val="clear" w:color="auto" w:fill="auto"/>
          </w:tcPr>
          <w:p w14:paraId="7FB2B582" w14:textId="77777777" w:rsidR="005B51B1" w:rsidRPr="00214621" w:rsidRDefault="005B51B1" w:rsidP="009C4CA4">
            <w:pPr>
              <w:rPr>
                <w:rFonts w:eastAsia="Calibri"/>
                <w:szCs w:val="24"/>
              </w:rPr>
            </w:pPr>
            <w:r w:rsidRPr="00214621">
              <w:rPr>
                <w:rFonts w:eastAsia="Calibri"/>
                <w:i/>
                <w:szCs w:val="24"/>
              </w:rPr>
              <w:t>Homo habilis sensu lato</w:t>
            </w:r>
          </w:p>
        </w:tc>
        <w:tc>
          <w:tcPr>
            <w:tcW w:w="1350" w:type="dxa"/>
            <w:shd w:val="clear" w:color="auto" w:fill="auto"/>
          </w:tcPr>
          <w:p w14:paraId="05EA48F2" w14:textId="77777777" w:rsidR="005B51B1" w:rsidRPr="00214621" w:rsidRDefault="005B51B1" w:rsidP="009C4CA4">
            <w:pPr>
              <w:rPr>
                <w:rFonts w:eastAsia="Calibri"/>
                <w:szCs w:val="24"/>
              </w:rPr>
            </w:pPr>
            <w:r w:rsidRPr="00214621">
              <w:rPr>
                <w:rFonts w:eastAsia="Calibri"/>
                <w:szCs w:val="24"/>
              </w:rPr>
              <w:t>2</w:t>
            </w:r>
          </w:p>
        </w:tc>
        <w:tc>
          <w:tcPr>
            <w:tcW w:w="1800" w:type="dxa"/>
            <w:shd w:val="clear" w:color="auto" w:fill="auto"/>
          </w:tcPr>
          <w:p w14:paraId="07FD2430" w14:textId="77777777" w:rsidR="005B51B1" w:rsidRPr="00214621" w:rsidRDefault="005B51B1" w:rsidP="009C4CA4">
            <w:pPr>
              <w:rPr>
                <w:rFonts w:eastAsia="Calibri"/>
                <w:szCs w:val="24"/>
              </w:rPr>
            </w:pPr>
            <w:r w:rsidRPr="00214621">
              <w:rPr>
                <w:rFonts w:eastAsia="Calibri"/>
                <w:szCs w:val="24"/>
              </w:rPr>
              <w:t>4</w:t>
            </w:r>
          </w:p>
        </w:tc>
        <w:tc>
          <w:tcPr>
            <w:tcW w:w="1710" w:type="dxa"/>
            <w:shd w:val="clear" w:color="auto" w:fill="auto"/>
          </w:tcPr>
          <w:p w14:paraId="156208BA" w14:textId="77777777" w:rsidR="005B51B1" w:rsidRPr="00214621" w:rsidRDefault="005B51B1" w:rsidP="009C4CA4">
            <w:pPr>
              <w:rPr>
                <w:rFonts w:eastAsia="Calibri"/>
                <w:szCs w:val="24"/>
              </w:rPr>
            </w:pPr>
            <w:r w:rsidRPr="00214621">
              <w:rPr>
                <w:rFonts w:eastAsia="Calibri"/>
                <w:szCs w:val="24"/>
              </w:rPr>
              <w:t>2</w:t>
            </w:r>
          </w:p>
        </w:tc>
      </w:tr>
      <w:tr w:rsidR="005B51B1" w:rsidRPr="000A5917" w14:paraId="23B83540" w14:textId="77777777" w:rsidTr="009C4CA4">
        <w:tc>
          <w:tcPr>
            <w:tcW w:w="1875" w:type="dxa"/>
            <w:shd w:val="clear" w:color="auto" w:fill="auto"/>
          </w:tcPr>
          <w:p w14:paraId="21250588" w14:textId="77777777" w:rsidR="005B51B1" w:rsidRPr="00214621" w:rsidRDefault="005B51B1" w:rsidP="009C4CA4">
            <w:pPr>
              <w:rPr>
                <w:rFonts w:eastAsia="Calibri"/>
                <w:i/>
                <w:szCs w:val="24"/>
              </w:rPr>
            </w:pPr>
            <w:r w:rsidRPr="00214621">
              <w:rPr>
                <w:rFonts w:eastAsia="Calibri"/>
                <w:i/>
                <w:szCs w:val="24"/>
              </w:rPr>
              <w:t>Homo ergaster</w:t>
            </w:r>
          </w:p>
        </w:tc>
        <w:tc>
          <w:tcPr>
            <w:tcW w:w="1630" w:type="dxa"/>
            <w:shd w:val="clear" w:color="auto" w:fill="auto"/>
          </w:tcPr>
          <w:p w14:paraId="245202F5" w14:textId="77777777" w:rsidR="005B51B1" w:rsidRPr="00214621" w:rsidRDefault="005B51B1" w:rsidP="009C4CA4">
            <w:pPr>
              <w:rPr>
                <w:rFonts w:eastAsia="Calibri"/>
                <w:i/>
                <w:szCs w:val="24"/>
              </w:rPr>
            </w:pPr>
            <w:r w:rsidRPr="00214621">
              <w:rPr>
                <w:rFonts w:eastAsia="Calibri"/>
                <w:i/>
                <w:szCs w:val="24"/>
              </w:rPr>
              <w:t>Homo erectus sensu lato</w:t>
            </w:r>
          </w:p>
        </w:tc>
        <w:tc>
          <w:tcPr>
            <w:tcW w:w="1350" w:type="dxa"/>
            <w:shd w:val="clear" w:color="auto" w:fill="auto"/>
          </w:tcPr>
          <w:p w14:paraId="79482E97" w14:textId="77777777" w:rsidR="005B51B1" w:rsidRPr="00214621" w:rsidRDefault="005B51B1" w:rsidP="009C4CA4">
            <w:pPr>
              <w:rPr>
                <w:rFonts w:eastAsia="Calibri"/>
                <w:szCs w:val="24"/>
              </w:rPr>
            </w:pPr>
            <w:r w:rsidRPr="00214621">
              <w:rPr>
                <w:rFonts w:eastAsia="Calibri"/>
                <w:szCs w:val="24"/>
              </w:rPr>
              <w:t>5</w:t>
            </w:r>
          </w:p>
        </w:tc>
        <w:tc>
          <w:tcPr>
            <w:tcW w:w="1800" w:type="dxa"/>
            <w:shd w:val="clear" w:color="auto" w:fill="auto"/>
          </w:tcPr>
          <w:p w14:paraId="613062E5" w14:textId="77777777" w:rsidR="005B51B1" w:rsidRPr="00214621" w:rsidRDefault="005B51B1" w:rsidP="009C4CA4">
            <w:pPr>
              <w:rPr>
                <w:rFonts w:eastAsia="Calibri"/>
                <w:szCs w:val="24"/>
              </w:rPr>
            </w:pPr>
            <w:r w:rsidRPr="00214621">
              <w:rPr>
                <w:rFonts w:eastAsia="Calibri"/>
                <w:szCs w:val="24"/>
              </w:rPr>
              <w:t>8</w:t>
            </w:r>
          </w:p>
        </w:tc>
        <w:tc>
          <w:tcPr>
            <w:tcW w:w="1710" w:type="dxa"/>
            <w:shd w:val="clear" w:color="auto" w:fill="auto"/>
          </w:tcPr>
          <w:p w14:paraId="184ED7C4" w14:textId="77777777" w:rsidR="005B51B1" w:rsidRPr="00214621" w:rsidRDefault="005B51B1" w:rsidP="009C4CA4">
            <w:pPr>
              <w:rPr>
                <w:rFonts w:eastAsia="Calibri"/>
                <w:szCs w:val="24"/>
              </w:rPr>
            </w:pPr>
            <w:r w:rsidRPr="00214621">
              <w:rPr>
                <w:rFonts w:eastAsia="Calibri"/>
                <w:szCs w:val="24"/>
              </w:rPr>
              <w:t>2</w:t>
            </w:r>
          </w:p>
        </w:tc>
      </w:tr>
      <w:tr w:rsidR="005B51B1" w:rsidRPr="000A5917" w14:paraId="471B4E3E" w14:textId="77777777" w:rsidTr="009C4CA4">
        <w:tc>
          <w:tcPr>
            <w:tcW w:w="1875" w:type="dxa"/>
            <w:shd w:val="clear" w:color="auto" w:fill="auto"/>
          </w:tcPr>
          <w:p w14:paraId="6CDF90D2" w14:textId="77777777" w:rsidR="005B51B1" w:rsidRPr="00214621" w:rsidRDefault="005B51B1" w:rsidP="009C4CA4">
            <w:pPr>
              <w:rPr>
                <w:rFonts w:eastAsia="Calibri"/>
                <w:i/>
                <w:szCs w:val="24"/>
              </w:rPr>
            </w:pPr>
            <w:r w:rsidRPr="00214621">
              <w:rPr>
                <w:rFonts w:eastAsia="Calibri"/>
                <w:i/>
                <w:szCs w:val="24"/>
              </w:rPr>
              <w:t>Homo erectus sensu stricto</w:t>
            </w:r>
          </w:p>
        </w:tc>
        <w:tc>
          <w:tcPr>
            <w:tcW w:w="1630" w:type="dxa"/>
            <w:shd w:val="clear" w:color="auto" w:fill="auto"/>
          </w:tcPr>
          <w:p w14:paraId="57C3A772" w14:textId="77777777" w:rsidR="005B51B1" w:rsidRPr="00214621" w:rsidRDefault="005B51B1" w:rsidP="009C4CA4">
            <w:pPr>
              <w:rPr>
                <w:rFonts w:eastAsia="Calibri"/>
                <w:szCs w:val="24"/>
              </w:rPr>
            </w:pPr>
            <w:r w:rsidRPr="00214621">
              <w:rPr>
                <w:rFonts w:eastAsia="Calibri"/>
                <w:i/>
                <w:szCs w:val="24"/>
              </w:rPr>
              <w:t>Homo erectus sensu lato</w:t>
            </w:r>
          </w:p>
        </w:tc>
        <w:tc>
          <w:tcPr>
            <w:tcW w:w="1350" w:type="dxa"/>
            <w:shd w:val="clear" w:color="auto" w:fill="auto"/>
          </w:tcPr>
          <w:p w14:paraId="07FBB4A2" w14:textId="77777777" w:rsidR="005B51B1" w:rsidRPr="00214621" w:rsidRDefault="005B51B1" w:rsidP="009C4CA4">
            <w:pPr>
              <w:rPr>
                <w:rFonts w:eastAsia="Calibri"/>
                <w:szCs w:val="24"/>
              </w:rPr>
            </w:pPr>
            <w:r w:rsidRPr="00214621">
              <w:rPr>
                <w:rFonts w:eastAsia="Calibri"/>
                <w:szCs w:val="24"/>
              </w:rPr>
              <w:t>36</w:t>
            </w:r>
          </w:p>
        </w:tc>
        <w:tc>
          <w:tcPr>
            <w:tcW w:w="1800" w:type="dxa"/>
            <w:shd w:val="clear" w:color="auto" w:fill="auto"/>
          </w:tcPr>
          <w:p w14:paraId="5E4D53C3" w14:textId="7839637C" w:rsidR="005B51B1" w:rsidRPr="00214621" w:rsidRDefault="005B51B1" w:rsidP="009C4CA4">
            <w:pPr>
              <w:rPr>
                <w:rFonts w:eastAsia="Calibri"/>
                <w:szCs w:val="24"/>
              </w:rPr>
            </w:pPr>
            <w:r w:rsidRPr="00214621">
              <w:rPr>
                <w:rFonts w:eastAsia="Calibri"/>
                <w:szCs w:val="24"/>
              </w:rPr>
              <w:t>7</w:t>
            </w:r>
            <w:r w:rsidR="00CD4230">
              <w:rPr>
                <w:rFonts w:eastAsia="Calibri"/>
                <w:szCs w:val="24"/>
              </w:rPr>
              <w:t>8</w:t>
            </w:r>
          </w:p>
        </w:tc>
        <w:tc>
          <w:tcPr>
            <w:tcW w:w="1710" w:type="dxa"/>
            <w:shd w:val="clear" w:color="auto" w:fill="auto"/>
          </w:tcPr>
          <w:p w14:paraId="5793406C" w14:textId="77777777" w:rsidR="005B51B1" w:rsidRPr="00214621" w:rsidRDefault="005B51B1" w:rsidP="009C4CA4">
            <w:pPr>
              <w:rPr>
                <w:rFonts w:eastAsia="Calibri"/>
                <w:szCs w:val="24"/>
              </w:rPr>
            </w:pPr>
            <w:r w:rsidRPr="00214621">
              <w:rPr>
                <w:rFonts w:eastAsia="Calibri"/>
                <w:szCs w:val="24"/>
              </w:rPr>
              <w:t>2</w:t>
            </w:r>
          </w:p>
        </w:tc>
      </w:tr>
      <w:tr w:rsidR="005B51B1" w:rsidRPr="000A5917" w14:paraId="0532700F" w14:textId="77777777" w:rsidTr="009C4CA4">
        <w:tc>
          <w:tcPr>
            <w:tcW w:w="1875" w:type="dxa"/>
            <w:shd w:val="clear" w:color="auto" w:fill="auto"/>
          </w:tcPr>
          <w:p w14:paraId="7D9586A6" w14:textId="77777777" w:rsidR="005B51B1" w:rsidRPr="00214621" w:rsidRDefault="005B51B1" w:rsidP="009C4CA4">
            <w:pPr>
              <w:rPr>
                <w:rFonts w:eastAsia="Calibri"/>
                <w:i/>
                <w:szCs w:val="24"/>
              </w:rPr>
            </w:pPr>
            <w:r w:rsidRPr="00214621">
              <w:rPr>
                <w:rFonts w:eastAsia="Calibri"/>
                <w:i/>
                <w:szCs w:val="24"/>
              </w:rPr>
              <w:t>Homo georgicus</w:t>
            </w:r>
          </w:p>
        </w:tc>
        <w:tc>
          <w:tcPr>
            <w:tcW w:w="1630" w:type="dxa"/>
            <w:shd w:val="clear" w:color="auto" w:fill="auto"/>
          </w:tcPr>
          <w:p w14:paraId="6C5B7E3F" w14:textId="77777777" w:rsidR="005B51B1" w:rsidRPr="00214621" w:rsidRDefault="005B51B1" w:rsidP="009C4CA4">
            <w:pPr>
              <w:rPr>
                <w:rFonts w:eastAsia="Calibri"/>
                <w:szCs w:val="24"/>
              </w:rPr>
            </w:pPr>
            <w:r w:rsidRPr="00214621">
              <w:rPr>
                <w:rFonts w:eastAsia="Calibri"/>
                <w:i/>
                <w:szCs w:val="24"/>
              </w:rPr>
              <w:t>Homo erectus sensu lato</w:t>
            </w:r>
          </w:p>
        </w:tc>
        <w:tc>
          <w:tcPr>
            <w:tcW w:w="1350" w:type="dxa"/>
            <w:shd w:val="clear" w:color="auto" w:fill="auto"/>
          </w:tcPr>
          <w:p w14:paraId="0D071F1E" w14:textId="77777777" w:rsidR="005B51B1" w:rsidRPr="00214621" w:rsidRDefault="005B51B1" w:rsidP="009C4CA4">
            <w:pPr>
              <w:rPr>
                <w:rFonts w:eastAsia="Calibri"/>
                <w:szCs w:val="24"/>
              </w:rPr>
            </w:pPr>
            <w:r w:rsidRPr="00214621">
              <w:rPr>
                <w:rFonts w:eastAsia="Calibri"/>
                <w:szCs w:val="24"/>
              </w:rPr>
              <w:t>5</w:t>
            </w:r>
          </w:p>
        </w:tc>
        <w:tc>
          <w:tcPr>
            <w:tcW w:w="1800" w:type="dxa"/>
            <w:shd w:val="clear" w:color="auto" w:fill="auto"/>
          </w:tcPr>
          <w:p w14:paraId="6541687C" w14:textId="77777777" w:rsidR="005B51B1" w:rsidRPr="00214621" w:rsidRDefault="005B51B1" w:rsidP="009C4CA4">
            <w:pPr>
              <w:rPr>
                <w:rFonts w:eastAsia="Calibri"/>
                <w:szCs w:val="24"/>
              </w:rPr>
            </w:pPr>
            <w:r w:rsidRPr="00214621">
              <w:rPr>
                <w:rFonts w:eastAsia="Calibri"/>
                <w:szCs w:val="24"/>
              </w:rPr>
              <w:t>8</w:t>
            </w:r>
          </w:p>
        </w:tc>
        <w:tc>
          <w:tcPr>
            <w:tcW w:w="1710" w:type="dxa"/>
            <w:shd w:val="clear" w:color="auto" w:fill="auto"/>
          </w:tcPr>
          <w:p w14:paraId="19524BCB" w14:textId="77777777" w:rsidR="005B51B1" w:rsidRPr="00214621" w:rsidRDefault="005B51B1" w:rsidP="009C4CA4">
            <w:pPr>
              <w:rPr>
                <w:rFonts w:eastAsia="Calibri"/>
                <w:szCs w:val="24"/>
              </w:rPr>
            </w:pPr>
            <w:r w:rsidRPr="00214621">
              <w:rPr>
                <w:rFonts w:eastAsia="Calibri"/>
                <w:szCs w:val="24"/>
              </w:rPr>
              <w:t>2</w:t>
            </w:r>
          </w:p>
        </w:tc>
      </w:tr>
      <w:tr w:rsidR="005B51B1" w:rsidRPr="000A5917" w14:paraId="6A8080C6" w14:textId="77777777" w:rsidTr="009C4CA4">
        <w:tc>
          <w:tcPr>
            <w:tcW w:w="1875" w:type="dxa"/>
            <w:tcBorders>
              <w:bottom w:val="double" w:sz="4" w:space="0" w:color="auto"/>
            </w:tcBorders>
            <w:shd w:val="clear" w:color="auto" w:fill="auto"/>
          </w:tcPr>
          <w:p w14:paraId="7B01A399" w14:textId="77777777" w:rsidR="005B51B1" w:rsidRPr="00214621" w:rsidRDefault="005B51B1" w:rsidP="009C4CA4">
            <w:pPr>
              <w:rPr>
                <w:rFonts w:eastAsia="Calibri"/>
                <w:i/>
                <w:szCs w:val="24"/>
              </w:rPr>
            </w:pPr>
            <w:r w:rsidRPr="00214621">
              <w:rPr>
                <w:rFonts w:eastAsia="Calibri"/>
                <w:i/>
                <w:szCs w:val="24"/>
              </w:rPr>
              <w:t>Homo heidelbergensis</w:t>
            </w:r>
          </w:p>
        </w:tc>
        <w:tc>
          <w:tcPr>
            <w:tcW w:w="1630" w:type="dxa"/>
            <w:tcBorders>
              <w:bottom w:val="double" w:sz="4" w:space="0" w:color="auto"/>
            </w:tcBorders>
            <w:shd w:val="clear" w:color="auto" w:fill="auto"/>
          </w:tcPr>
          <w:p w14:paraId="08EE0E9C" w14:textId="77777777" w:rsidR="005B51B1" w:rsidRPr="00214621" w:rsidRDefault="005B51B1" w:rsidP="009C4CA4">
            <w:pPr>
              <w:rPr>
                <w:rFonts w:eastAsia="Calibri"/>
                <w:szCs w:val="24"/>
              </w:rPr>
            </w:pPr>
            <w:r w:rsidRPr="00214621">
              <w:rPr>
                <w:rFonts w:eastAsia="Calibri"/>
                <w:szCs w:val="24"/>
              </w:rPr>
              <w:t>Same</w:t>
            </w:r>
          </w:p>
        </w:tc>
        <w:tc>
          <w:tcPr>
            <w:tcW w:w="1350" w:type="dxa"/>
            <w:tcBorders>
              <w:bottom w:val="double" w:sz="4" w:space="0" w:color="auto"/>
            </w:tcBorders>
            <w:shd w:val="clear" w:color="auto" w:fill="auto"/>
          </w:tcPr>
          <w:p w14:paraId="2FB32B0C" w14:textId="4CAA85F4" w:rsidR="005B51B1" w:rsidRPr="00214621" w:rsidRDefault="00CD4230" w:rsidP="009C4CA4">
            <w:pPr>
              <w:rPr>
                <w:rFonts w:eastAsia="Calibri"/>
                <w:szCs w:val="24"/>
              </w:rPr>
            </w:pPr>
            <w:r>
              <w:rPr>
                <w:rFonts w:eastAsia="Calibri"/>
                <w:szCs w:val="24"/>
              </w:rPr>
              <w:t>6</w:t>
            </w:r>
          </w:p>
        </w:tc>
        <w:tc>
          <w:tcPr>
            <w:tcW w:w="1800" w:type="dxa"/>
            <w:tcBorders>
              <w:bottom w:val="double" w:sz="4" w:space="0" w:color="auto"/>
            </w:tcBorders>
            <w:shd w:val="clear" w:color="auto" w:fill="auto"/>
          </w:tcPr>
          <w:p w14:paraId="078743EE" w14:textId="44E1CFDC" w:rsidR="005B51B1" w:rsidRPr="00214621" w:rsidRDefault="00CD4230" w:rsidP="009C4CA4">
            <w:pPr>
              <w:rPr>
                <w:rFonts w:eastAsia="Calibri"/>
                <w:szCs w:val="24"/>
              </w:rPr>
            </w:pPr>
            <w:r>
              <w:rPr>
                <w:rFonts w:eastAsia="Calibri"/>
                <w:szCs w:val="24"/>
              </w:rPr>
              <w:t>7</w:t>
            </w:r>
          </w:p>
        </w:tc>
        <w:tc>
          <w:tcPr>
            <w:tcW w:w="1710" w:type="dxa"/>
            <w:tcBorders>
              <w:bottom w:val="double" w:sz="4" w:space="0" w:color="auto"/>
            </w:tcBorders>
            <w:shd w:val="clear" w:color="auto" w:fill="auto"/>
          </w:tcPr>
          <w:p w14:paraId="6B45A965" w14:textId="77777777" w:rsidR="005B51B1" w:rsidRPr="00214621" w:rsidRDefault="005B51B1" w:rsidP="009C4CA4">
            <w:pPr>
              <w:rPr>
                <w:rFonts w:eastAsia="Calibri"/>
                <w:szCs w:val="24"/>
              </w:rPr>
            </w:pPr>
            <w:r w:rsidRPr="00214621">
              <w:rPr>
                <w:rFonts w:eastAsia="Calibri"/>
                <w:szCs w:val="24"/>
              </w:rPr>
              <w:t>1</w:t>
            </w:r>
          </w:p>
        </w:tc>
      </w:tr>
      <w:tr w:rsidR="005B51B1" w:rsidRPr="000A5917" w14:paraId="6A100EEF" w14:textId="77777777" w:rsidTr="009C4CA4">
        <w:tc>
          <w:tcPr>
            <w:tcW w:w="1875" w:type="dxa"/>
            <w:tcBorders>
              <w:top w:val="double" w:sz="4" w:space="0" w:color="auto"/>
            </w:tcBorders>
            <w:shd w:val="clear" w:color="auto" w:fill="auto"/>
          </w:tcPr>
          <w:p w14:paraId="5ED91A26" w14:textId="77777777" w:rsidR="005B51B1" w:rsidRPr="00214621" w:rsidRDefault="005B51B1" w:rsidP="009C4CA4">
            <w:pPr>
              <w:rPr>
                <w:rFonts w:eastAsia="Calibri"/>
                <w:b/>
                <w:szCs w:val="24"/>
              </w:rPr>
            </w:pPr>
            <w:r w:rsidRPr="00214621">
              <w:rPr>
                <w:rFonts w:eastAsia="Calibri"/>
                <w:b/>
                <w:szCs w:val="24"/>
              </w:rPr>
              <w:t>TOTAL</w:t>
            </w:r>
          </w:p>
        </w:tc>
        <w:tc>
          <w:tcPr>
            <w:tcW w:w="1630" w:type="dxa"/>
            <w:tcBorders>
              <w:top w:val="double" w:sz="4" w:space="0" w:color="auto"/>
            </w:tcBorders>
            <w:shd w:val="clear" w:color="auto" w:fill="auto"/>
          </w:tcPr>
          <w:p w14:paraId="49CD0510" w14:textId="77777777" w:rsidR="005B51B1" w:rsidRPr="00214621" w:rsidRDefault="005B51B1" w:rsidP="009C4CA4">
            <w:pPr>
              <w:rPr>
                <w:rFonts w:eastAsia="Calibri"/>
                <w:szCs w:val="24"/>
              </w:rPr>
            </w:pPr>
          </w:p>
        </w:tc>
        <w:tc>
          <w:tcPr>
            <w:tcW w:w="1350" w:type="dxa"/>
            <w:tcBorders>
              <w:top w:val="double" w:sz="4" w:space="0" w:color="auto"/>
            </w:tcBorders>
            <w:shd w:val="clear" w:color="auto" w:fill="auto"/>
          </w:tcPr>
          <w:p w14:paraId="594807CF" w14:textId="25F00C2E" w:rsidR="005B51B1" w:rsidRPr="00214621" w:rsidRDefault="005B51B1" w:rsidP="009C4CA4">
            <w:pPr>
              <w:rPr>
                <w:rFonts w:eastAsia="Calibri"/>
                <w:szCs w:val="24"/>
              </w:rPr>
            </w:pPr>
            <w:r w:rsidRPr="00214621">
              <w:rPr>
                <w:rFonts w:eastAsia="Calibri"/>
                <w:szCs w:val="24"/>
              </w:rPr>
              <w:t>9</w:t>
            </w:r>
            <w:r w:rsidR="00CD4230">
              <w:rPr>
                <w:rFonts w:eastAsia="Calibri"/>
                <w:szCs w:val="24"/>
              </w:rPr>
              <w:t>4</w:t>
            </w:r>
          </w:p>
        </w:tc>
        <w:tc>
          <w:tcPr>
            <w:tcW w:w="1800" w:type="dxa"/>
            <w:tcBorders>
              <w:top w:val="double" w:sz="4" w:space="0" w:color="auto"/>
            </w:tcBorders>
            <w:shd w:val="clear" w:color="auto" w:fill="auto"/>
          </w:tcPr>
          <w:p w14:paraId="3B60779A" w14:textId="051011B6" w:rsidR="005B51B1" w:rsidRPr="00214621" w:rsidRDefault="005B51B1" w:rsidP="009C4CA4">
            <w:pPr>
              <w:rPr>
                <w:rFonts w:eastAsia="Calibri"/>
                <w:szCs w:val="24"/>
              </w:rPr>
            </w:pPr>
            <w:r w:rsidRPr="00214621">
              <w:rPr>
                <w:rFonts w:eastAsia="Calibri"/>
                <w:szCs w:val="24"/>
              </w:rPr>
              <w:t>19</w:t>
            </w:r>
            <w:r w:rsidR="00CD4230">
              <w:rPr>
                <w:rFonts w:eastAsia="Calibri"/>
                <w:szCs w:val="24"/>
              </w:rPr>
              <w:t>1</w:t>
            </w:r>
          </w:p>
        </w:tc>
        <w:tc>
          <w:tcPr>
            <w:tcW w:w="1710" w:type="dxa"/>
            <w:tcBorders>
              <w:top w:val="double" w:sz="4" w:space="0" w:color="auto"/>
            </w:tcBorders>
            <w:shd w:val="clear" w:color="auto" w:fill="auto"/>
          </w:tcPr>
          <w:p w14:paraId="7ED91BE5" w14:textId="77777777" w:rsidR="005B51B1" w:rsidRPr="00214621" w:rsidRDefault="005B51B1" w:rsidP="009C4CA4">
            <w:pPr>
              <w:keepNext/>
              <w:rPr>
                <w:rFonts w:eastAsia="Calibri"/>
                <w:szCs w:val="24"/>
              </w:rPr>
            </w:pPr>
            <w:r w:rsidRPr="00214621">
              <w:rPr>
                <w:rFonts w:eastAsia="Calibri"/>
                <w:szCs w:val="24"/>
              </w:rPr>
              <w:t>2</w:t>
            </w:r>
          </w:p>
        </w:tc>
      </w:tr>
    </w:tbl>
    <w:p w14:paraId="6ADC054B" w14:textId="77777777" w:rsidR="002A28D2" w:rsidRDefault="005B51B1">
      <w:pPr>
        <w:spacing w:after="160" w:line="259" w:lineRule="auto"/>
        <w:rPr>
          <w:b/>
        </w:rPr>
      </w:pPr>
      <w:r>
        <w:br w:type="page"/>
      </w:r>
      <w:r w:rsidR="002A28D2">
        <w:rPr>
          <w:b/>
        </w:rPr>
        <w:lastRenderedPageBreak/>
        <w:t>Table S2</w:t>
      </w:r>
    </w:p>
    <w:p w14:paraId="4E00E070" w14:textId="77777777" w:rsidR="002A28D2" w:rsidRDefault="002A28D2" w:rsidP="002A28D2">
      <w:pPr>
        <w:pStyle w:val="SMcaption"/>
        <w:spacing w:line="360" w:lineRule="auto"/>
      </w:pPr>
      <w:r>
        <w:rPr>
          <w:szCs w:val="24"/>
        </w:rPr>
        <w:t>Ex</w:t>
      </w:r>
      <w:r w:rsidRPr="00922F56">
        <w:rPr>
          <w:szCs w:val="24"/>
        </w:rPr>
        <w:t xml:space="preserve">tracted variance components </w:t>
      </w:r>
      <w:r>
        <w:rPr>
          <w:szCs w:val="24"/>
        </w:rPr>
        <w:t>from a r</w:t>
      </w:r>
      <w:r w:rsidRPr="00922F56">
        <w:rPr>
          <w:szCs w:val="24"/>
        </w:rPr>
        <w:t>andom effects</w:t>
      </w:r>
      <w:r w:rsidRPr="00922F56">
        <w:rPr>
          <w:b/>
          <w:szCs w:val="24"/>
        </w:rPr>
        <w:t xml:space="preserve"> </w:t>
      </w:r>
      <w:r w:rsidRPr="00922F56">
        <w:rPr>
          <w:szCs w:val="24"/>
        </w:rPr>
        <w:t>(Type II)</w:t>
      </w:r>
      <w:r w:rsidRPr="00922F56">
        <w:rPr>
          <w:b/>
          <w:szCs w:val="24"/>
        </w:rPr>
        <w:t xml:space="preserve"> </w:t>
      </w:r>
      <w:r w:rsidRPr="00922F56">
        <w:rPr>
          <w:szCs w:val="24"/>
        </w:rPr>
        <w:t>ANOVA used to quantify within-specimen, inter-observer ECV error. Log</w:t>
      </w:r>
      <w:r w:rsidRPr="00922F56">
        <w:rPr>
          <w:szCs w:val="24"/>
          <w:vertAlign w:val="subscript"/>
        </w:rPr>
        <w:t>10</w:t>
      </w:r>
      <w:r w:rsidRPr="00922F56">
        <w:rPr>
          <w:szCs w:val="24"/>
        </w:rPr>
        <w:t xml:space="preserve"> ECV was modeled as the dependent variable in an intercept only model, while </w:t>
      </w:r>
      <w:r>
        <w:rPr>
          <w:szCs w:val="24"/>
        </w:rPr>
        <w:t>“</w:t>
      </w:r>
      <w:r w:rsidRPr="00922F56">
        <w:rPr>
          <w:szCs w:val="24"/>
        </w:rPr>
        <w:t>specimen ID</w:t>
      </w:r>
      <w:r>
        <w:rPr>
          <w:szCs w:val="24"/>
        </w:rPr>
        <w:t>”</w:t>
      </w:r>
      <w:r w:rsidRPr="00922F56">
        <w:rPr>
          <w:szCs w:val="24"/>
        </w:rPr>
        <w:t xml:space="preserve"> </w:t>
      </w:r>
      <w:r>
        <w:rPr>
          <w:szCs w:val="24"/>
        </w:rPr>
        <w:t xml:space="preserve">was nested within “species” </w:t>
      </w:r>
      <w:r w:rsidRPr="00922F56">
        <w:rPr>
          <w:szCs w:val="24"/>
        </w:rPr>
        <w:t>as random effects. The model was fit by restricted maximum likelihood</w:t>
      </w:r>
      <w:r>
        <w:rPr>
          <w:szCs w:val="24"/>
        </w:rPr>
        <w:t>,</w:t>
      </w:r>
      <w:r w:rsidRPr="00922F56">
        <w:rPr>
          <w:szCs w:val="24"/>
        </w:rPr>
        <w:t xml:space="preserve"> and variance components were extracted using the R code: </w:t>
      </w:r>
      <w:r w:rsidRPr="00D454E7">
        <w:rPr>
          <w:rFonts w:ascii="Courier New" w:hAnsi="Courier New" w:cs="Courier New"/>
          <w:szCs w:val="24"/>
        </w:rPr>
        <w:t>ape::varcomp(nlme::lme(ecv ~ 1, random= ~1 | species / ID, data=mydata, na.action=na.omit)</w:t>
      </w:r>
      <w:r w:rsidRPr="00922F56">
        <w:rPr>
          <w:szCs w:val="24"/>
        </w:rPr>
        <w:t>). The residual variance component not accounted for by the model (</w:t>
      </w:r>
      <w:r>
        <w:rPr>
          <w:szCs w:val="24"/>
        </w:rPr>
        <w:t>i.e., “Within ID”</w:t>
      </w:r>
      <w:r w:rsidRPr="00922F56">
        <w:rPr>
          <w:szCs w:val="24"/>
        </w:rPr>
        <w:t xml:space="preserve">) was used </w:t>
      </w:r>
      <w:r>
        <w:rPr>
          <w:szCs w:val="24"/>
        </w:rPr>
        <w:t xml:space="preserve">to quantify </w:t>
      </w:r>
      <w:r w:rsidRPr="00922F56">
        <w:rPr>
          <w:szCs w:val="24"/>
        </w:rPr>
        <w:t>within-specimen</w:t>
      </w:r>
      <w:r>
        <w:rPr>
          <w:szCs w:val="24"/>
        </w:rPr>
        <w:t>, inter-observer</w:t>
      </w:r>
      <w:r w:rsidRPr="00922F56">
        <w:rPr>
          <w:szCs w:val="24"/>
        </w:rPr>
        <w:t xml:space="preserve"> </w:t>
      </w:r>
      <w:r>
        <w:rPr>
          <w:szCs w:val="24"/>
        </w:rPr>
        <w:t>error</w:t>
      </w:r>
      <w:r w:rsidRPr="00922F56">
        <w:rPr>
          <w:szCs w:val="24"/>
        </w:rPr>
        <w:t xml:space="preserve"> in our main analyses. </w:t>
      </w:r>
      <w:r>
        <w:rPr>
          <w:szCs w:val="24"/>
        </w:rPr>
        <w:t>We used the “Within ID” variance component from the more speciose taxonomy ANOVA model (in bold) because it was larger than that of the less speciose taxonomy and therefore was the more conservative choice. However, “</w:t>
      </w:r>
      <w:r w:rsidRPr="00922F56">
        <w:rPr>
          <w:szCs w:val="24"/>
        </w:rPr>
        <w:t>Within ID</w:t>
      </w:r>
      <w:r>
        <w:rPr>
          <w:szCs w:val="24"/>
        </w:rPr>
        <w:t>”</w:t>
      </w:r>
      <w:r w:rsidRPr="00922F56">
        <w:rPr>
          <w:szCs w:val="24"/>
        </w:rPr>
        <w:t xml:space="preserve"> variance components do not differ appreciably </w:t>
      </w:r>
      <w:r>
        <w:rPr>
          <w:szCs w:val="24"/>
        </w:rPr>
        <w:t>between</w:t>
      </w:r>
      <w:r w:rsidRPr="00922F56">
        <w:rPr>
          <w:szCs w:val="24"/>
        </w:rPr>
        <w:t xml:space="preserve"> </w:t>
      </w:r>
      <w:r>
        <w:rPr>
          <w:szCs w:val="24"/>
        </w:rPr>
        <w:t xml:space="preserve">the two taxonomic </w:t>
      </w:r>
      <w:r w:rsidRPr="00922F56">
        <w:rPr>
          <w:szCs w:val="24"/>
        </w:rPr>
        <w:t xml:space="preserve">treatments, so our choice of species designations does not affect our </w:t>
      </w:r>
      <w:r>
        <w:rPr>
          <w:szCs w:val="24"/>
        </w:rPr>
        <w:t>clade-level</w:t>
      </w:r>
      <w:r w:rsidRPr="00922F56">
        <w:rPr>
          <w:szCs w:val="24"/>
        </w:rPr>
        <w:t xml:space="preserve"> results.</w:t>
      </w:r>
    </w:p>
    <w:tbl>
      <w:tblPr>
        <w:tblpPr w:leftFromText="180" w:rightFromText="180" w:vertAnchor="text" w:tblpY="1"/>
        <w:tblOverlap w:val="neve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2700"/>
        <w:gridCol w:w="2880"/>
      </w:tblGrid>
      <w:tr w:rsidR="002A28D2" w14:paraId="0CB0FAA3" w14:textId="77777777" w:rsidTr="009C4CA4">
        <w:tc>
          <w:tcPr>
            <w:tcW w:w="1525" w:type="dxa"/>
            <w:tcBorders>
              <w:bottom w:val="double" w:sz="4" w:space="0" w:color="auto"/>
            </w:tcBorders>
            <w:shd w:val="clear" w:color="auto" w:fill="auto"/>
          </w:tcPr>
          <w:p w14:paraId="12AF181C" w14:textId="77777777" w:rsidR="002A28D2" w:rsidRPr="00214621" w:rsidRDefault="002A28D2" w:rsidP="009C4CA4">
            <w:pPr>
              <w:rPr>
                <w:rFonts w:eastAsia="Calibri"/>
                <w:b/>
                <w:szCs w:val="24"/>
              </w:rPr>
            </w:pPr>
            <w:r w:rsidRPr="00214621">
              <w:rPr>
                <w:rFonts w:eastAsia="Calibri"/>
                <w:b/>
                <w:szCs w:val="24"/>
              </w:rPr>
              <w:t>Variance component</w:t>
            </w:r>
          </w:p>
        </w:tc>
        <w:tc>
          <w:tcPr>
            <w:tcW w:w="2700" w:type="dxa"/>
            <w:tcBorders>
              <w:bottom w:val="double" w:sz="4" w:space="0" w:color="auto"/>
            </w:tcBorders>
            <w:shd w:val="clear" w:color="auto" w:fill="auto"/>
          </w:tcPr>
          <w:p w14:paraId="623CA178" w14:textId="77777777" w:rsidR="002A28D2" w:rsidRPr="00214621" w:rsidRDefault="002A28D2" w:rsidP="009C4CA4">
            <w:pPr>
              <w:rPr>
                <w:rFonts w:eastAsia="Calibri"/>
                <w:b/>
                <w:szCs w:val="24"/>
              </w:rPr>
            </w:pPr>
            <w:r w:rsidRPr="00214621">
              <w:rPr>
                <w:rFonts w:eastAsia="Calibri"/>
                <w:b/>
                <w:szCs w:val="24"/>
              </w:rPr>
              <w:t>Less speciose taxonomy</w:t>
            </w:r>
          </w:p>
        </w:tc>
        <w:tc>
          <w:tcPr>
            <w:tcW w:w="2880" w:type="dxa"/>
            <w:tcBorders>
              <w:bottom w:val="double" w:sz="4" w:space="0" w:color="auto"/>
            </w:tcBorders>
            <w:shd w:val="clear" w:color="auto" w:fill="auto"/>
          </w:tcPr>
          <w:p w14:paraId="4B0B5461" w14:textId="77777777" w:rsidR="002A28D2" w:rsidRPr="00214621" w:rsidRDefault="002A28D2" w:rsidP="009C4CA4">
            <w:pPr>
              <w:rPr>
                <w:rFonts w:eastAsia="Calibri"/>
                <w:b/>
                <w:szCs w:val="24"/>
              </w:rPr>
            </w:pPr>
            <w:r w:rsidRPr="00214621">
              <w:rPr>
                <w:rFonts w:eastAsia="Calibri"/>
                <w:b/>
                <w:szCs w:val="24"/>
              </w:rPr>
              <w:t>More speciose taxonomy</w:t>
            </w:r>
          </w:p>
        </w:tc>
      </w:tr>
      <w:tr w:rsidR="002A28D2" w14:paraId="383B5513" w14:textId="77777777" w:rsidTr="009C4CA4">
        <w:tc>
          <w:tcPr>
            <w:tcW w:w="1525" w:type="dxa"/>
            <w:tcBorders>
              <w:top w:val="double" w:sz="4" w:space="0" w:color="auto"/>
            </w:tcBorders>
            <w:shd w:val="clear" w:color="auto" w:fill="auto"/>
          </w:tcPr>
          <w:p w14:paraId="7C8BFA2E" w14:textId="77777777" w:rsidR="002A28D2" w:rsidRPr="00214621" w:rsidRDefault="002A28D2" w:rsidP="009C4CA4">
            <w:pPr>
              <w:rPr>
                <w:rFonts w:eastAsia="Calibri"/>
                <w:szCs w:val="24"/>
              </w:rPr>
            </w:pPr>
            <w:r w:rsidRPr="00214621">
              <w:rPr>
                <w:rFonts w:eastAsia="Calibri"/>
                <w:szCs w:val="24"/>
              </w:rPr>
              <w:t>Species</w:t>
            </w:r>
          </w:p>
        </w:tc>
        <w:tc>
          <w:tcPr>
            <w:tcW w:w="2700" w:type="dxa"/>
            <w:tcBorders>
              <w:top w:val="double" w:sz="4" w:space="0" w:color="auto"/>
            </w:tcBorders>
            <w:shd w:val="clear" w:color="auto" w:fill="auto"/>
          </w:tcPr>
          <w:p w14:paraId="2109B50B" w14:textId="77777777" w:rsidR="002A28D2" w:rsidRPr="00214621" w:rsidRDefault="002A28D2" w:rsidP="009C4CA4">
            <w:pPr>
              <w:rPr>
                <w:rFonts w:eastAsia="Calibri"/>
                <w:szCs w:val="24"/>
              </w:rPr>
            </w:pPr>
            <w:r w:rsidRPr="00214621">
              <w:rPr>
                <w:rFonts w:eastAsia="Calibri"/>
                <w:szCs w:val="24"/>
              </w:rPr>
              <w:t>2.</w:t>
            </w:r>
            <w:r>
              <w:rPr>
                <w:rFonts w:eastAsia="Calibri"/>
                <w:szCs w:val="24"/>
              </w:rPr>
              <w:t>253</w:t>
            </w:r>
            <w:r w:rsidRPr="00214621">
              <w:rPr>
                <w:rFonts w:eastAsia="Calibri"/>
                <w:szCs w:val="24"/>
              </w:rPr>
              <w:t xml:space="preserve"> x 10</w:t>
            </w:r>
            <w:r w:rsidRPr="00214621">
              <w:rPr>
                <w:rFonts w:eastAsia="Calibri"/>
                <w:szCs w:val="24"/>
                <w:vertAlign w:val="superscript"/>
              </w:rPr>
              <w:t>-2</w:t>
            </w:r>
          </w:p>
        </w:tc>
        <w:tc>
          <w:tcPr>
            <w:tcW w:w="2880" w:type="dxa"/>
            <w:tcBorders>
              <w:top w:val="double" w:sz="4" w:space="0" w:color="auto"/>
            </w:tcBorders>
            <w:shd w:val="clear" w:color="auto" w:fill="auto"/>
          </w:tcPr>
          <w:p w14:paraId="0C732411" w14:textId="77777777" w:rsidR="002A28D2" w:rsidRPr="00214621" w:rsidRDefault="002A28D2" w:rsidP="009C4CA4">
            <w:pPr>
              <w:rPr>
                <w:rFonts w:eastAsia="Calibri"/>
                <w:szCs w:val="24"/>
              </w:rPr>
            </w:pPr>
            <w:r>
              <w:rPr>
                <w:rFonts w:eastAsia="Calibri"/>
                <w:szCs w:val="24"/>
              </w:rPr>
              <w:t>2.027</w:t>
            </w:r>
            <w:r w:rsidRPr="00214621">
              <w:rPr>
                <w:rFonts w:eastAsia="Calibri"/>
                <w:szCs w:val="24"/>
              </w:rPr>
              <w:t xml:space="preserve"> x 10</w:t>
            </w:r>
            <w:r w:rsidRPr="00214621">
              <w:rPr>
                <w:rFonts w:eastAsia="Calibri"/>
                <w:szCs w:val="24"/>
                <w:vertAlign w:val="superscript"/>
              </w:rPr>
              <w:t>-2</w:t>
            </w:r>
          </w:p>
        </w:tc>
      </w:tr>
      <w:tr w:rsidR="002A28D2" w14:paraId="55BBC70C" w14:textId="77777777" w:rsidTr="009C4CA4">
        <w:tc>
          <w:tcPr>
            <w:tcW w:w="1525" w:type="dxa"/>
            <w:shd w:val="clear" w:color="auto" w:fill="auto"/>
          </w:tcPr>
          <w:p w14:paraId="573B9CE2" w14:textId="77777777" w:rsidR="002A28D2" w:rsidRPr="00214621" w:rsidRDefault="002A28D2" w:rsidP="009C4CA4">
            <w:pPr>
              <w:rPr>
                <w:rFonts w:eastAsia="Calibri"/>
                <w:szCs w:val="24"/>
              </w:rPr>
            </w:pPr>
            <w:r w:rsidRPr="00214621">
              <w:rPr>
                <w:rFonts w:eastAsia="Calibri"/>
                <w:szCs w:val="24"/>
              </w:rPr>
              <w:t>Specimen ID</w:t>
            </w:r>
          </w:p>
        </w:tc>
        <w:tc>
          <w:tcPr>
            <w:tcW w:w="2700" w:type="dxa"/>
            <w:shd w:val="clear" w:color="auto" w:fill="auto"/>
          </w:tcPr>
          <w:p w14:paraId="24FE61EB" w14:textId="77777777" w:rsidR="002A28D2" w:rsidRPr="00214621" w:rsidRDefault="002A28D2" w:rsidP="009C4CA4">
            <w:pPr>
              <w:rPr>
                <w:rFonts w:eastAsia="Calibri"/>
                <w:szCs w:val="24"/>
              </w:rPr>
            </w:pPr>
            <w:r w:rsidRPr="00214621">
              <w:rPr>
                <w:rFonts w:eastAsia="Calibri"/>
                <w:szCs w:val="24"/>
              </w:rPr>
              <w:t>5.</w:t>
            </w:r>
            <w:r>
              <w:rPr>
                <w:rFonts w:eastAsia="Calibri"/>
                <w:szCs w:val="24"/>
              </w:rPr>
              <w:t>368</w:t>
            </w:r>
            <w:r w:rsidRPr="00214621">
              <w:rPr>
                <w:rFonts w:eastAsia="Calibri"/>
                <w:szCs w:val="24"/>
              </w:rPr>
              <w:t xml:space="preserve"> x 10</w:t>
            </w:r>
            <w:r w:rsidRPr="00214621">
              <w:rPr>
                <w:rFonts w:eastAsia="Calibri"/>
                <w:szCs w:val="24"/>
                <w:vertAlign w:val="superscript"/>
              </w:rPr>
              <w:t>-3</w:t>
            </w:r>
          </w:p>
        </w:tc>
        <w:tc>
          <w:tcPr>
            <w:tcW w:w="2880" w:type="dxa"/>
            <w:shd w:val="clear" w:color="auto" w:fill="auto"/>
          </w:tcPr>
          <w:p w14:paraId="4DFF49B7" w14:textId="77777777" w:rsidR="002A28D2" w:rsidRPr="00214621" w:rsidRDefault="002A28D2" w:rsidP="009C4CA4">
            <w:pPr>
              <w:rPr>
                <w:rFonts w:eastAsia="Calibri"/>
                <w:szCs w:val="24"/>
              </w:rPr>
            </w:pPr>
            <w:r w:rsidRPr="00214621">
              <w:rPr>
                <w:rFonts w:eastAsia="Calibri"/>
                <w:szCs w:val="24"/>
              </w:rPr>
              <w:t>3.</w:t>
            </w:r>
            <w:r>
              <w:rPr>
                <w:rFonts w:eastAsia="Calibri"/>
                <w:szCs w:val="24"/>
              </w:rPr>
              <w:t>373</w:t>
            </w:r>
            <w:r w:rsidRPr="00214621">
              <w:rPr>
                <w:rFonts w:eastAsia="Calibri"/>
                <w:szCs w:val="24"/>
              </w:rPr>
              <w:t xml:space="preserve"> x 10</w:t>
            </w:r>
            <w:r w:rsidRPr="00214621">
              <w:rPr>
                <w:rFonts w:eastAsia="Calibri"/>
                <w:szCs w:val="24"/>
                <w:vertAlign w:val="superscript"/>
              </w:rPr>
              <w:t>-3</w:t>
            </w:r>
          </w:p>
        </w:tc>
      </w:tr>
      <w:tr w:rsidR="002A28D2" w14:paraId="76E3569B" w14:textId="77777777" w:rsidTr="009C4CA4">
        <w:tc>
          <w:tcPr>
            <w:tcW w:w="1525" w:type="dxa"/>
            <w:shd w:val="clear" w:color="auto" w:fill="auto"/>
          </w:tcPr>
          <w:p w14:paraId="1FD001D6" w14:textId="77777777" w:rsidR="002A28D2" w:rsidRPr="00214621" w:rsidRDefault="002A28D2" w:rsidP="009C4CA4">
            <w:pPr>
              <w:rPr>
                <w:rFonts w:eastAsia="Calibri"/>
                <w:szCs w:val="24"/>
              </w:rPr>
            </w:pPr>
            <w:r w:rsidRPr="00214621">
              <w:rPr>
                <w:rFonts w:eastAsia="Calibri"/>
                <w:szCs w:val="24"/>
              </w:rPr>
              <w:t>Within ID</w:t>
            </w:r>
          </w:p>
        </w:tc>
        <w:tc>
          <w:tcPr>
            <w:tcW w:w="2700" w:type="dxa"/>
            <w:shd w:val="clear" w:color="auto" w:fill="auto"/>
          </w:tcPr>
          <w:p w14:paraId="09E3267E" w14:textId="77777777" w:rsidR="002A28D2" w:rsidRPr="00214621" w:rsidRDefault="002A28D2" w:rsidP="009C4CA4">
            <w:pPr>
              <w:rPr>
                <w:rFonts w:eastAsia="Calibri"/>
                <w:szCs w:val="24"/>
              </w:rPr>
            </w:pPr>
            <w:r w:rsidRPr="00214621">
              <w:rPr>
                <w:rFonts w:eastAsia="Calibri"/>
                <w:szCs w:val="24"/>
              </w:rPr>
              <w:t>7.</w:t>
            </w:r>
            <w:r>
              <w:rPr>
                <w:rFonts w:eastAsia="Calibri"/>
                <w:szCs w:val="24"/>
              </w:rPr>
              <w:t>215</w:t>
            </w:r>
            <w:r w:rsidRPr="00214621">
              <w:rPr>
                <w:rFonts w:eastAsia="Calibri"/>
                <w:szCs w:val="24"/>
              </w:rPr>
              <w:t xml:space="preserve"> x 10</w:t>
            </w:r>
            <w:r w:rsidRPr="00214621">
              <w:rPr>
                <w:rFonts w:eastAsia="Calibri"/>
                <w:szCs w:val="24"/>
                <w:vertAlign w:val="superscript"/>
              </w:rPr>
              <w:t>-4</w:t>
            </w:r>
          </w:p>
        </w:tc>
        <w:tc>
          <w:tcPr>
            <w:tcW w:w="2880" w:type="dxa"/>
            <w:shd w:val="clear" w:color="auto" w:fill="auto"/>
          </w:tcPr>
          <w:p w14:paraId="6A4868A4" w14:textId="77777777" w:rsidR="002A28D2" w:rsidRPr="00214621" w:rsidRDefault="002A28D2" w:rsidP="009C4CA4">
            <w:pPr>
              <w:keepNext/>
              <w:rPr>
                <w:rFonts w:eastAsia="Calibri"/>
                <w:b/>
                <w:szCs w:val="24"/>
              </w:rPr>
            </w:pPr>
            <w:r w:rsidRPr="00214621">
              <w:rPr>
                <w:rFonts w:eastAsia="Calibri"/>
                <w:b/>
                <w:szCs w:val="24"/>
              </w:rPr>
              <w:t>7.</w:t>
            </w:r>
            <w:r>
              <w:rPr>
                <w:rFonts w:eastAsia="Calibri"/>
                <w:b/>
                <w:szCs w:val="24"/>
              </w:rPr>
              <w:t>230</w:t>
            </w:r>
            <w:r w:rsidRPr="00214621">
              <w:rPr>
                <w:rFonts w:eastAsia="Calibri"/>
                <w:b/>
                <w:szCs w:val="24"/>
              </w:rPr>
              <w:t xml:space="preserve"> x 10</w:t>
            </w:r>
            <w:r w:rsidRPr="00214621">
              <w:rPr>
                <w:rFonts w:eastAsia="Calibri"/>
                <w:b/>
                <w:szCs w:val="24"/>
                <w:vertAlign w:val="superscript"/>
              </w:rPr>
              <w:t>-4</w:t>
            </w:r>
          </w:p>
        </w:tc>
      </w:tr>
    </w:tbl>
    <w:p w14:paraId="0A7E8241" w14:textId="77777777" w:rsidR="002A28D2" w:rsidRDefault="002A28D2" w:rsidP="002A28D2">
      <w:pPr>
        <w:pStyle w:val="SMcaption"/>
      </w:pPr>
    </w:p>
    <w:p w14:paraId="230305A0" w14:textId="7C9B3F65" w:rsidR="002A28D2" w:rsidRDefault="002A28D2">
      <w:pPr>
        <w:spacing w:after="160" w:line="259" w:lineRule="auto"/>
        <w:rPr>
          <w:bCs/>
          <w:kern w:val="32"/>
          <w:szCs w:val="24"/>
        </w:rPr>
      </w:pPr>
      <w:r>
        <w:rPr>
          <w:b/>
        </w:rPr>
        <w:br w:type="page"/>
      </w:r>
    </w:p>
    <w:p w14:paraId="0519D2A6" w14:textId="15135DD2" w:rsidR="005B51B1" w:rsidRDefault="005B51B1" w:rsidP="005B51B1">
      <w:pPr>
        <w:pStyle w:val="SMHeading"/>
        <w:spacing w:line="360" w:lineRule="auto"/>
        <w:rPr>
          <w:b w:val="0"/>
        </w:rPr>
      </w:pPr>
      <w:r>
        <w:lastRenderedPageBreak/>
        <w:t>Table S3</w:t>
      </w:r>
      <w:r>
        <w:br/>
      </w:r>
      <w:r w:rsidRPr="00136BC1">
        <w:rPr>
          <w:b w:val="0"/>
        </w:rPr>
        <w:t xml:space="preserve">Model selection results for our clade-level evolutionary mode analyses. 1000 Monte Carlo iterations (see </w:t>
      </w:r>
      <w:r w:rsidR="00C67F33" w:rsidRPr="00C67F33">
        <w:rPr>
          <w:b w:val="0"/>
        </w:rPr>
        <w:t>fig</w:t>
      </w:r>
      <w:r w:rsidR="00C67F33">
        <w:rPr>
          <w:b w:val="0"/>
          <w:i/>
        </w:rPr>
        <w:t xml:space="preserve">. </w:t>
      </w:r>
      <w:r w:rsidRPr="00136BC1">
        <w:rPr>
          <w:b w:val="0"/>
        </w:rPr>
        <w:t>S2) generated a distribution of 1000 raw AICc scores and 1000 AICc weights for each evolutionary mode. Medians and 1</w:t>
      </w:r>
      <w:r w:rsidRPr="00136BC1">
        <w:rPr>
          <w:b w:val="0"/>
          <w:vertAlign w:val="superscript"/>
        </w:rPr>
        <w:t>st</w:t>
      </w:r>
      <w:r w:rsidRPr="00136BC1">
        <w:rPr>
          <w:b w:val="0"/>
        </w:rPr>
        <w:t xml:space="preserve"> and 3</w:t>
      </w:r>
      <w:r w:rsidRPr="00136BC1">
        <w:rPr>
          <w:b w:val="0"/>
          <w:vertAlign w:val="superscript"/>
        </w:rPr>
        <w:t>rd</w:t>
      </w:r>
      <w:r w:rsidRPr="00136BC1">
        <w:rPr>
          <w:b w:val="0"/>
        </w:rPr>
        <w:t xml:space="preserve"> quartiles were calculated for the AICc weights as opposed to mean ± standard error because of the skewed nature of the distributions (since they are bounded between zero and one). “k” is the number of free parameters estimated in each evolutionary model.</w:t>
      </w:r>
    </w:p>
    <w:tbl>
      <w:tblPr>
        <w:tblW w:w="6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40"/>
        <w:gridCol w:w="2273"/>
        <w:gridCol w:w="2340"/>
      </w:tblGrid>
      <w:tr w:rsidR="005B51B1" w:rsidRPr="00274329" w14:paraId="7D1AE3EE" w14:textId="77777777" w:rsidTr="009C4CA4">
        <w:trPr>
          <w:trHeight w:val="523"/>
        </w:trPr>
        <w:tc>
          <w:tcPr>
            <w:tcW w:w="1620" w:type="dxa"/>
            <w:tcBorders>
              <w:bottom w:val="double" w:sz="4" w:space="0" w:color="auto"/>
            </w:tcBorders>
            <w:shd w:val="clear" w:color="auto" w:fill="auto"/>
            <w:vAlign w:val="center"/>
          </w:tcPr>
          <w:p w14:paraId="4AB2EC64" w14:textId="77777777" w:rsidR="005B51B1" w:rsidRPr="00214621" w:rsidRDefault="005B51B1" w:rsidP="009C4CA4">
            <w:pPr>
              <w:rPr>
                <w:rFonts w:eastAsia="Calibri"/>
                <w:b/>
                <w:szCs w:val="24"/>
              </w:rPr>
            </w:pPr>
            <w:r w:rsidRPr="00214621">
              <w:rPr>
                <w:rFonts w:eastAsia="Calibri"/>
                <w:b/>
                <w:szCs w:val="24"/>
              </w:rPr>
              <w:t>Evolutionary mode</w:t>
            </w:r>
          </w:p>
        </w:tc>
        <w:tc>
          <w:tcPr>
            <w:tcW w:w="540" w:type="dxa"/>
            <w:tcBorders>
              <w:bottom w:val="double" w:sz="4" w:space="0" w:color="auto"/>
            </w:tcBorders>
            <w:shd w:val="clear" w:color="auto" w:fill="auto"/>
            <w:vAlign w:val="center"/>
          </w:tcPr>
          <w:p w14:paraId="4D239A1C" w14:textId="77777777" w:rsidR="005B51B1" w:rsidRPr="00214621" w:rsidRDefault="005B51B1" w:rsidP="009C4CA4">
            <w:pPr>
              <w:rPr>
                <w:rFonts w:eastAsia="Calibri"/>
                <w:b/>
                <w:szCs w:val="24"/>
              </w:rPr>
            </w:pPr>
            <w:r w:rsidRPr="00214621">
              <w:rPr>
                <w:rFonts w:eastAsia="Calibri"/>
                <w:b/>
                <w:szCs w:val="24"/>
              </w:rPr>
              <w:t>k</w:t>
            </w:r>
          </w:p>
        </w:tc>
        <w:tc>
          <w:tcPr>
            <w:tcW w:w="2273" w:type="dxa"/>
            <w:tcBorders>
              <w:bottom w:val="double" w:sz="4" w:space="0" w:color="auto"/>
            </w:tcBorders>
            <w:shd w:val="clear" w:color="auto" w:fill="auto"/>
            <w:vAlign w:val="center"/>
          </w:tcPr>
          <w:p w14:paraId="69DBFF95" w14:textId="77777777" w:rsidR="005B51B1" w:rsidRPr="00214621" w:rsidRDefault="005B51B1" w:rsidP="009C4CA4">
            <w:pPr>
              <w:rPr>
                <w:rFonts w:eastAsia="Calibri"/>
                <w:b/>
                <w:szCs w:val="24"/>
              </w:rPr>
            </w:pPr>
            <w:r w:rsidRPr="00214621">
              <w:rPr>
                <w:rFonts w:eastAsia="Calibri"/>
                <w:b/>
                <w:szCs w:val="24"/>
              </w:rPr>
              <w:t>Raw AICc mean ± one standard error</w:t>
            </w:r>
          </w:p>
        </w:tc>
        <w:tc>
          <w:tcPr>
            <w:tcW w:w="2340" w:type="dxa"/>
            <w:tcBorders>
              <w:bottom w:val="double" w:sz="4" w:space="0" w:color="auto"/>
            </w:tcBorders>
            <w:shd w:val="clear" w:color="auto" w:fill="auto"/>
            <w:vAlign w:val="center"/>
          </w:tcPr>
          <w:p w14:paraId="37E8E80C" w14:textId="77777777" w:rsidR="005B51B1" w:rsidRPr="00214621" w:rsidRDefault="005B51B1" w:rsidP="009C4CA4">
            <w:pPr>
              <w:rPr>
                <w:rFonts w:eastAsia="Calibri"/>
                <w:b/>
                <w:szCs w:val="24"/>
              </w:rPr>
            </w:pPr>
            <w:r w:rsidRPr="00214621">
              <w:rPr>
                <w:rFonts w:eastAsia="Calibri"/>
                <w:b/>
                <w:szCs w:val="24"/>
              </w:rPr>
              <w:t>AICc weight median (1</w:t>
            </w:r>
            <w:r w:rsidRPr="00214621">
              <w:rPr>
                <w:rFonts w:eastAsia="Calibri"/>
                <w:b/>
                <w:szCs w:val="24"/>
                <w:vertAlign w:val="superscript"/>
              </w:rPr>
              <w:t>st</w:t>
            </w:r>
            <w:r w:rsidRPr="00214621">
              <w:rPr>
                <w:rFonts w:eastAsia="Calibri"/>
                <w:b/>
                <w:szCs w:val="24"/>
              </w:rPr>
              <w:t xml:space="preserve"> &amp; 3</w:t>
            </w:r>
            <w:r w:rsidRPr="00214621">
              <w:rPr>
                <w:rFonts w:eastAsia="Calibri"/>
                <w:b/>
                <w:szCs w:val="24"/>
                <w:vertAlign w:val="superscript"/>
              </w:rPr>
              <w:t>rd</w:t>
            </w:r>
            <w:r w:rsidRPr="00214621">
              <w:rPr>
                <w:rFonts w:eastAsia="Calibri"/>
                <w:b/>
                <w:szCs w:val="24"/>
              </w:rPr>
              <w:t xml:space="preserve"> quartiles)</w:t>
            </w:r>
          </w:p>
        </w:tc>
      </w:tr>
      <w:tr w:rsidR="005B51B1" w:rsidRPr="00274329" w14:paraId="1474703E" w14:textId="77777777" w:rsidTr="009C4CA4">
        <w:trPr>
          <w:trHeight w:val="438"/>
        </w:trPr>
        <w:tc>
          <w:tcPr>
            <w:tcW w:w="1620" w:type="dxa"/>
            <w:tcBorders>
              <w:top w:val="double" w:sz="4" w:space="0" w:color="auto"/>
            </w:tcBorders>
            <w:shd w:val="clear" w:color="auto" w:fill="auto"/>
            <w:vAlign w:val="center"/>
          </w:tcPr>
          <w:p w14:paraId="0BA71DEC" w14:textId="77777777" w:rsidR="005B51B1" w:rsidRPr="00214621" w:rsidRDefault="005B51B1" w:rsidP="009C4CA4">
            <w:pPr>
              <w:rPr>
                <w:rFonts w:eastAsia="Calibri"/>
                <w:szCs w:val="24"/>
              </w:rPr>
            </w:pPr>
            <w:r w:rsidRPr="00214621">
              <w:rPr>
                <w:rFonts w:eastAsia="Calibri"/>
                <w:szCs w:val="24"/>
              </w:rPr>
              <w:t>Random walk</w:t>
            </w:r>
          </w:p>
        </w:tc>
        <w:tc>
          <w:tcPr>
            <w:tcW w:w="540" w:type="dxa"/>
            <w:tcBorders>
              <w:top w:val="double" w:sz="4" w:space="0" w:color="auto"/>
            </w:tcBorders>
            <w:shd w:val="clear" w:color="auto" w:fill="auto"/>
            <w:vAlign w:val="center"/>
          </w:tcPr>
          <w:p w14:paraId="25338EF9" w14:textId="77777777" w:rsidR="005B51B1" w:rsidRPr="00214621" w:rsidRDefault="005B51B1" w:rsidP="009C4CA4">
            <w:pPr>
              <w:rPr>
                <w:rFonts w:eastAsia="Calibri"/>
                <w:szCs w:val="24"/>
              </w:rPr>
            </w:pPr>
            <w:r w:rsidRPr="00214621">
              <w:rPr>
                <w:rFonts w:eastAsia="Calibri"/>
                <w:szCs w:val="24"/>
              </w:rPr>
              <w:t>2</w:t>
            </w:r>
          </w:p>
        </w:tc>
        <w:tc>
          <w:tcPr>
            <w:tcW w:w="2273" w:type="dxa"/>
            <w:tcBorders>
              <w:top w:val="double" w:sz="4" w:space="0" w:color="auto"/>
            </w:tcBorders>
            <w:shd w:val="clear" w:color="auto" w:fill="auto"/>
            <w:vAlign w:val="center"/>
          </w:tcPr>
          <w:p w14:paraId="4600AEB0" w14:textId="69462B58" w:rsidR="005B51B1" w:rsidRPr="00214621" w:rsidRDefault="005B51B1" w:rsidP="009C4CA4">
            <w:pPr>
              <w:rPr>
                <w:rFonts w:eastAsia="Calibri"/>
                <w:szCs w:val="24"/>
              </w:rPr>
            </w:pPr>
            <w:r w:rsidRPr="00214621">
              <w:rPr>
                <w:rFonts w:eastAsia="Calibri"/>
                <w:szCs w:val="24"/>
              </w:rPr>
              <w:t>-4</w:t>
            </w:r>
            <w:r w:rsidR="00EA3C9E">
              <w:rPr>
                <w:rFonts w:eastAsia="Calibri"/>
                <w:szCs w:val="24"/>
              </w:rPr>
              <w:t>5.83</w:t>
            </w:r>
            <w:r w:rsidRPr="00214621">
              <w:rPr>
                <w:rFonts w:eastAsia="Calibri"/>
                <w:szCs w:val="24"/>
              </w:rPr>
              <w:t xml:space="preserve"> </w:t>
            </w:r>
            <w:r w:rsidRPr="00214621">
              <w:rPr>
                <w:rFonts w:eastAsia="Calibri"/>
                <w:b/>
                <w:szCs w:val="24"/>
              </w:rPr>
              <w:t xml:space="preserve">± </w:t>
            </w:r>
            <w:r w:rsidRPr="00214621">
              <w:rPr>
                <w:rFonts w:eastAsia="Calibri"/>
                <w:szCs w:val="24"/>
              </w:rPr>
              <w:t>3.</w:t>
            </w:r>
            <w:r w:rsidR="00EA3C9E">
              <w:rPr>
                <w:rFonts w:eastAsia="Calibri"/>
                <w:szCs w:val="24"/>
              </w:rPr>
              <w:t>79</w:t>
            </w:r>
          </w:p>
        </w:tc>
        <w:tc>
          <w:tcPr>
            <w:tcW w:w="2340" w:type="dxa"/>
            <w:tcBorders>
              <w:top w:val="double" w:sz="4" w:space="0" w:color="auto"/>
            </w:tcBorders>
            <w:shd w:val="clear" w:color="auto" w:fill="auto"/>
            <w:vAlign w:val="center"/>
          </w:tcPr>
          <w:p w14:paraId="233A73AD" w14:textId="6D4DB08C" w:rsidR="005B51B1" w:rsidRPr="00214621" w:rsidRDefault="005B51B1" w:rsidP="009C4CA4">
            <w:pPr>
              <w:rPr>
                <w:rFonts w:eastAsia="Calibri"/>
                <w:szCs w:val="24"/>
              </w:rPr>
            </w:pPr>
            <w:r w:rsidRPr="00214621">
              <w:rPr>
                <w:rFonts w:eastAsia="Calibri"/>
                <w:szCs w:val="24"/>
              </w:rPr>
              <w:t>0.0</w:t>
            </w:r>
            <w:r w:rsidR="00EA3C9E">
              <w:rPr>
                <w:rFonts w:eastAsia="Calibri"/>
                <w:szCs w:val="24"/>
              </w:rPr>
              <w:t>6</w:t>
            </w:r>
            <w:r w:rsidRPr="00214621">
              <w:rPr>
                <w:rFonts w:eastAsia="Calibri"/>
                <w:szCs w:val="24"/>
              </w:rPr>
              <w:t xml:space="preserve"> (0.02, 0.1</w:t>
            </w:r>
            <w:r w:rsidR="00EA3C9E">
              <w:rPr>
                <w:rFonts w:eastAsia="Calibri"/>
                <w:szCs w:val="24"/>
              </w:rPr>
              <w:t>2</w:t>
            </w:r>
            <w:r w:rsidRPr="00214621">
              <w:rPr>
                <w:rFonts w:eastAsia="Calibri"/>
                <w:szCs w:val="24"/>
              </w:rPr>
              <w:t>)</w:t>
            </w:r>
          </w:p>
        </w:tc>
      </w:tr>
      <w:tr w:rsidR="005B51B1" w:rsidRPr="00274329" w14:paraId="3DF3AAB6" w14:textId="77777777" w:rsidTr="009C4CA4">
        <w:trPr>
          <w:trHeight w:val="440"/>
        </w:trPr>
        <w:tc>
          <w:tcPr>
            <w:tcW w:w="1620" w:type="dxa"/>
            <w:shd w:val="clear" w:color="auto" w:fill="auto"/>
            <w:vAlign w:val="center"/>
          </w:tcPr>
          <w:p w14:paraId="5202BD6F" w14:textId="77777777" w:rsidR="005B51B1" w:rsidRPr="00214621" w:rsidRDefault="005B51B1" w:rsidP="009C4CA4">
            <w:pPr>
              <w:rPr>
                <w:rFonts w:eastAsia="Calibri"/>
                <w:szCs w:val="24"/>
              </w:rPr>
            </w:pPr>
            <w:r w:rsidRPr="00214621">
              <w:rPr>
                <w:rFonts w:eastAsia="Calibri"/>
                <w:szCs w:val="24"/>
              </w:rPr>
              <w:t>Gradualism</w:t>
            </w:r>
          </w:p>
        </w:tc>
        <w:tc>
          <w:tcPr>
            <w:tcW w:w="540" w:type="dxa"/>
            <w:shd w:val="clear" w:color="auto" w:fill="auto"/>
            <w:vAlign w:val="center"/>
          </w:tcPr>
          <w:p w14:paraId="4E2A2D08" w14:textId="77777777" w:rsidR="005B51B1" w:rsidRPr="00214621" w:rsidRDefault="005B51B1" w:rsidP="009C4CA4">
            <w:pPr>
              <w:rPr>
                <w:rFonts w:eastAsia="Calibri"/>
                <w:szCs w:val="24"/>
              </w:rPr>
            </w:pPr>
            <w:r w:rsidRPr="00214621">
              <w:rPr>
                <w:rFonts w:eastAsia="Calibri"/>
                <w:szCs w:val="24"/>
              </w:rPr>
              <w:t>3</w:t>
            </w:r>
          </w:p>
        </w:tc>
        <w:tc>
          <w:tcPr>
            <w:tcW w:w="2273" w:type="dxa"/>
            <w:shd w:val="clear" w:color="auto" w:fill="auto"/>
            <w:vAlign w:val="center"/>
          </w:tcPr>
          <w:p w14:paraId="430E605A" w14:textId="38F4225C" w:rsidR="005B51B1" w:rsidRPr="00214621" w:rsidRDefault="005B51B1" w:rsidP="009C4CA4">
            <w:pPr>
              <w:rPr>
                <w:rFonts w:eastAsia="Calibri"/>
                <w:szCs w:val="24"/>
              </w:rPr>
            </w:pPr>
            <w:r w:rsidRPr="00214621">
              <w:rPr>
                <w:rFonts w:eastAsia="Calibri"/>
                <w:szCs w:val="24"/>
              </w:rPr>
              <w:t>-5</w:t>
            </w:r>
            <w:r w:rsidR="00EA3C9E">
              <w:rPr>
                <w:rFonts w:eastAsia="Calibri"/>
                <w:szCs w:val="24"/>
              </w:rPr>
              <w:t>1.</w:t>
            </w:r>
            <w:r w:rsidR="00B319B2">
              <w:rPr>
                <w:rFonts w:eastAsia="Calibri"/>
                <w:szCs w:val="24"/>
              </w:rPr>
              <w:t>62</w:t>
            </w:r>
            <w:r w:rsidRPr="00214621">
              <w:rPr>
                <w:rFonts w:eastAsia="Calibri"/>
                <w:szCs w:val="24"/>
              </w:rPr>
              <w:t xml:space="preserve"> </w:t>
            </w:r>
            <w:r w:rsidRPr="00214621">
              <w:rPr>
                <w:rFonts w:eastAsia="Calibri"/>
                <w:b/>
                <w:szCs w:val="24"/>
              </w:rPr>
              <w:t xml:space="preserve">± </w:t>
            </w:r>
            <w:r w:rsidR="00EA3C9E">
              <w:rPr>
                <w:rFonts w:eastAsia="Calibri"/>
                <w:szCs w:val="24"/>
              </w:rPr>
              <w:t>5.94</w:t>
            </w:r>
          </w:p>
        </w:tc>
        <w:tc>
          <w:tcPr>
            <w:tcW w:w="2340" w:type="dxa"/>
            <w:shd w:val="clear" w:color="auto" w:fill="auto"/>
            <w:vAlign w:val="center"/>
          </w:tcPr>
          <w:p w14:paraId="19932B5F" w14:textId="36CCE2C0" w:rsidR="005B51B1" w:rsidRPr="00214621" w:rsidRDefault="005B51B1" w:rsidP="00635A8A">
            <w:pPr>
              <w:rPr>
                <w:rFonts w:eastAsia="Calibri"/>
                <w:szCs w:val="24"/>
              </w:rPr>
            </w:pPr>
            <w:r w:rsidRPr="00214621">
              <w:rPr>
                <w:rFonts w:eastAsia="Calibri"/>
                <w:szCs w:val="24"/>
              </w:rPr>
              <w:t>0.9</w:t>
            </w:r>
            <w:r w:rsidR="00EA3C9E">
              <w:rPr>
                <w:rFonts w:eastAsia="Calibri"/>
                <w:szCs w:val="24"/>
              </w:rPr>
              <w:t>0</w:t>
            </w:r>
            <w:r w:rsidRPr="00214621">
              <w:rPr>
                <w:rFonts w:eastAsia="Calibri"/>
                <w:szCs w:val="24"/>
              </w:rPr>
              <w:t xml:space="preserve"> (0.8</w:t>
            </w:r>
            <w:r w:rsidR="00EA3C9E">
              <w:rPr>
                <w:rFonts w:eastAsia="Calibri"/>
                <w:szCs w:val="24"/>
              </w:rPr>
              <w:t>0</w:t>
            </w:r>
            <w:r w:rsidR="00CB5243">
              <w:rPr>
                <w:rFonts w:eastAsia="Calibri"/>
                <w:szCs w:val="24"/>
              </w:rPr>
              <w:t>,</w:t>
            </w:r>
            <w:r w:rsidRPr="00214621">
              <w:rPr>
                <w:rFonts w:eastAsia="Calibri"/>
                <w:szCs w:val="24"/>
              </w:rPr>
              <w:t xml:space="preserve"> 0.9</w:t>
            </w:r>
            <w:r w:rsidR="00EA3C9E">
              <w:rPr>
                <w:rFonts w:eastAsia="Calibri"/>
                <w:szCs w:val="24"/>
              </w:rPr>
              <w:t>5</w:t>
            </w:r>
            <w:r w:rsidRPr="00214621">
              <w:rPr>
                <w:rFonts w:eastAsia="Calibri"/>
                <w:szCs w:val="24"/>
              </w:rPr>
              <w:t>)</w:t>
            </w:r>
          </w:p>
        </w:tc>
      </w:tr>
      <w:tr w:rsidR="005B51B1" w:rsidRPr="00274329" w14:paraId="259BD49D" w14:textId="77777777" w:rsidTr="009C4CA4">
        <w:trPr>
          <w:trHeight w:val="440"/>
        </w:trPr>
        <w:tc>
          <w:tcPr>
            <w:tcW w:w="1620" w:type="dxa"/>
            <w:shd w:val="clear" w:color="auto" w:fill="auto"/>
            <w:vAlign w:val="center"/>
          </w:tcPr>
          <w:p w14:paraId="47E8E1BB" w14:textId="77777777" w:rsidR="005B51B1" w:rsidRPr="00214621" w:rsidRDefault="005B51B1" w:rsidP="009C4CA4">
            <w:pPr>
              <w:rPr>
                <w:rFonts w:eastAsia="Calibri"/>
                <w:szCs w:val="24"/>
              </w:rPr>
            </w:pPr>
            <w:r w:rsidRPr="00214621">
              <w:rPr>
                <w:rFonts w:eastAsia="Calibri"/>
                <w:szCs w:val="24"/>
              </w:rPr>
              <w:t>Stasis</w:t>
            </w:r>
          </w:p>
        </w:tc>
        <w:tc>
          <w:tcPr>
            <w:tcW w:w="540" w:type="dxa"/>
            <w:shd w:val="clear" w:color="auto" w:fill="auto"/>
            <w:vAlign w:val="center"/>
          </w:tcPr>
          <w:p w14:paraId="4C28A610" w14:textId="77777777" w:rsidR="005B51B1" w:rsidRPr="00214621" w:rsidRDefault="005B51B1" w:rsidP="009C4CA4">
            <w:pPr>
              <w:rPr>
                <w:rFonts w:eastAsia="Calibri"/>
                <w:szCs w:val="24"/>
              </w:rPr>
            </w:pPr>
            <w:r w:rsidRPr="00214621">
              <w:rPr>
                <w:rFonts w:eastAsia="Calibri"/>
                <w:szCs w:val="24"/>
              </w:rPr>
              <w:t>2</w:t>
            </w:r>
          </w:p>
        </w:tc>
        <w:tc>
          <w:tcPr>
            <w:tcW w:w="2273" w:type="dxa"/>
            <w:shd w:val="clear" w:color="auto" w:fill="auto"/>
            <w:vAlign w:val="center"/>
          </w:tcPr>
          <w:p w14:paraId="4E779991" w14:textId="08D704AF" w:rsidR="005B51B1" w:rsidRPr="00214621" w:rsidRDefault="005B51B1" w:rsidP="009C4CA4">
            <w:pPr>
              <w:rPr>
                <w:rFonts w:eastAsia="Calibri"/>
                <w:szCs w:val="24"/>
              </w:rPr>
            </w:pPr>
            <w:r w:rsidRPr="00214621">
              <w:rPr>
                <w:rFonts w:eastAsia="Calibri"/>
                <w:szCs w:val="24"/>
              </w:rPr>
              <w:t>-</w:t>
            </w:r>
            <w:r w:rsidR="00EA3C9E">
              <w:rPr>
                <w:rFonts w:eastAsia="Calibri"/>
                <w:szCs w:val="24"/>
              </w:rPr>
              <w:t>8.9</w:t>
            </w:r>
            <w:r w:rsidR="00B319B2">
              <w:rPr>
                <w:rFonts w:eastAsia="Calibri"/>
                <w:szCs w:val="24"/>
              </w:rPr>
              <w:t>0</w:t>
            </w:r>
            <w:r w:rsidRPr="00214621">
              <w:rPr>
                <w:rFonts w:eastAsia="Calibri"/>
                <w:szCs w:val="24"/>
              </w:rPr>
              <w:t xml:space="preserve"> </w:t>
            </w:r>
            <w:r w:rsidRPr="00214621">
              <w:rPr>
                <w:rFonts w:eastAsia="Calibri"/>
                <w:b/>
                <w:szCs w:val="24"/>
              </w:rPr>
              <w:t xml:space="preserve">± </w:t>
            </w:r>
            <w:r w:rsidRPr="00214621">
              <w:rPr>
                <w:rFonts w:eastAsia="Calibri"/>
                <w:szCs w:val="24"/>
              </w:rPr>
              <w:t>0.9</w:t>
            </w:r>
            <w:r w:rsidR="00EA3C9E">
              <w:rPr>
                <w:rFonts w:eastAsia="Calibri"/>
                <w:szCs w:val="24"/>
              </w:rPr>
              <w:t>7</w:t>
            </w:r>
          </w:p>
        </w:tc>
        <w:tc>
          <w:tcPr>
            <w:tcW w:w="2340" w:type="dxa"/>
            <w:shd w:val="clear" w:color="auto" w:fill="auto"/>
            <w:vAlign w:val="center"/>
          </w:tcPr>
          <w:p w14:paraId="5D4B1CC7" w14:textId="77777777" w:rsidR="005B51B1" w:rsidRPr="00214621" w:rsidRDefault="005B51B1" w:rsidP="009C4CA4">
            <w:pPr>
              <w:rPr>
                <w:rFonts w:eastAsia="Calibri"/>
                <w:szCs w:val="24"/>
              </w:rPr>
            </w:pPr>
            <w:r w:rsidRPr="00214621">
              <w:rPr>
                <w:rFonts w:eastAsia="Calibri"/>
                <w:szCs w:val="24"/>
              </w:rPr>
              <w:t>0.00 (0.00, 0.00)</w:t>
            </w:r>
          </w:p>
        </w:tc>
      </w:tr>
      <w:tr w:rsidR="005B51B1" w:rsidRPr="00274329" w14:paraId="5FB1BBE0" w14:textId="77777777" w:rsidTr="009C4CA4">
        <w:trPr>
          <w:trHeight w:val="440"/>
        </w:trPr>
        <w:tc>
          <w:tcPr>
            <w:tcW w:w="1620" w:type="dxa"/>
            <w:shd w:val="clear" w:color="auto" w:fill="auto"/>
            <w:vAlign w:val="center"/>
          </w:tcPr>
          <w:p w14:paraId="6638481A" w14:textId="77777777" w:rsidR="005B51B1" w:rsidRPr="00214621" w:rsidRDefault="005B51B1" w:rsidP="009C4CA4">
            <w:pPr>
              <w:rPr>
                <w:rFonts w:eastAsia="Calibri"/>
                <w:szCs w:val="24"/>
              </w:rPr>
            </w:pPr>
            <w:r w:rsidRPr="00214621">
              <w:rPr>
                <w:rFonts w:eastAsia="Calibri"/>
                <w:szCs w:val="24"/>
              </w:rPr>
              <w:t>Punctuated equilibrium</w:t>
            </w:r>
          </w:p>
        </w:tc>
        <w:tc>
          <w:tcPr>
            <w:tcW w:w="540" w:type="dxa"/>
            <w:shd w:val="clear" w:color="auto" w:fill="auto"/>
            <w:vAlign w:val="center"/>
          </w:tcPr>
          <w:p w14:paraId="1832E8B6" w14:textId="77777777" w:rsidR="005B51B1" w:rsidRPr="00214621" w:rsidRDefault="005B51B1" w:rsidP="009C4CA4">
            <w:pPr>
              <w:rPr>
                <w:rFonts w:eastAsia="Calibri"/>
                <w:szCs w:val="24"/>
              </w:rPr>
            </w:pPr>
            <w:r w:rsidRPr="00214621">
              <w:rPr>
                <w:rFonts w:eastAsia="Calibri"/>
                <w:szCs w:val="24"/>
              </w:rPr>
              <w:t>4</w:t>
            </w:r>
          </w:p>
        </w:tc>
        <w:tc>
          <w:tcPr>
            <w:tcW w:w="2273" w:type="dxa"/>
            <w:shd w:val="clear" w:color="auto" w:fill="auto"/>
            <w:vAlign w:val="center"/>
          </w:tcPr>
          <w:p w14:paraId="74164ABB" w14:textId="3BDB5836" w:rsidR="005B51B1" w:rsidRPr="00214621" w:rsidRDefault="005B51B1" w:rsidP="009C4CA4">
            <w:pPr>
              <w:rPr>
                <w:rFonts w:eastAsia="Calibri"/>
                <w:szCs w:val="24"/>
              </w:rPr>
            </w:pPr>
            <w:r w:rsidRPr="00214621">
              <w:rPr>
                <w:rFonts w:eastAsia="Calibri"/>
                <w:szCs w:val="24"/>
              </w:rPr>
              <w:t>-</w:t>
            </w:r>
            <w:r w:rsidR="00EA3C9E">
              <w:rPr>
                <w:rFonts w:eastAsia="Calibri"/>
                <w:szCs w:val="24"/>
              </w:rPr>
              <w:t>29.6</w:t>
            </w:r>
            <w:r w:rsidR="00B319B2">
              <w:rPr>
                <w:rFonts w:eastAsia="Calibri"/>
                <w:szCs w:val="24"/>
              </w:rPr>
              <w:t>6</w:t>
            </w:r>
            <w:r w:rsidRPr="00214621">
              <w:rPr>
                <w:rFonts w:eastAsia="Calibri"/>
                <w:szCs w:val="24"/>
              </w:rPr>
              <w:t xml:space="preserve"> </w:t>
            </w:r>
            <w:r w:rsidRPr="00214621">
              <w:rPr>
                <w:rFonts w:eastAsia="Calibri"/>
                <w:b/>
                <w:szCs w:val="24"/>
              </w:rPr>
              <w:t xml:space="preserve">± </w:t>
            </w:r>
            <w:r w:rsidRPr="00214621">
              <w:rPr>
                <w:rFonts w:eastAsia="Calibri"/>
                <w:szCs w:val="24"/>
              </w:rPr>
              <w:t>2.</w:t>
            </w:r>
            <w:r w:rsidR="00EA3C9E">
              <w:rPr>
                <w:rFonts w:eastAsia="Calibri"/>
                <w:szCs w:val="24"/>
              </w:rPr>
              <w:t>77</w:t>
            </w:r>
          </w:p>
        </w:tc>
        <w:tc>
          <w:tcPr>
            <w:tcW w:w="2340" w:type="dxa"/>
            <w:shd w:val="clear" w:color="auto" w:fill="auto"/>
            <w:vAlign w:val="center"/>
          </w:tcPr>
          <w:p w14:paraId="163DE61E" w14:textId="77777777" w:rsidR="005B51B1" w:rsidRPr="00214621" w:rsidRDefault="005B51B1" w:rsidP="009C4CA4">
            <w:pPr>
              <w:rPr>
                <w:rFonts w:eastAsia="Calibri"/>
                <w:szCs w:val="24"/>
              </w:rPr>
            </w:pPr>
            <w:r w:rsidRPr="00214621">
              <w:rPr>
                <w:rFonts w:eastAsia="Calibri"/>
                <w:szCs w:val="24"/>
              </w:rPr>
              <w:t>0.00 (0.00, 0.00)</w:t>
            </w:r>
          </w:p>
        </w:tc>
      </w:tr>
      <w:tr w:rsidR="005B51B1" w:rsidRPr="00274329" w14:paraId="2779DF7F" w14:textId="77777777" w:rsidTr="009C4CA4">
        <w:trPr>
          <w:trHeight w:val="523"/>
        </w:trPr>
        <w:tc>
          <w:tcPr>
            <w:tcW w:w="1620" w:type="dxa"/>
            <w:shd w:val="clear" w:color="auto" w:fill="auto"/>
            <w:vAlign w:val="center"/>
          </w:tcPr>
          <w:p w14:paraId="40817C4F" w14:textId="77777777" w:rsidR="005B51B1" w:rsidRPr="00214621" w:rsidRDefault="005B51B1" w:rsidP="009C4CA4">
            <w:pPr>
              <w:rPr>
                <w:rFonts w:eastAsia="Calibri"/>
                <w:szCs w:val="24"/>
              </w:rPr>
            </w:pPr>
            <w:r w:rsidRPr="00214621">
              <w:rPr>
                <w:rFonts w:eastAsia="Calibri"/>
                <w:szCs w:val="24"/>
              </w:rPr>
              <w:t>Stasis-random walk</w:t>
            </w:r>
          </w:p>
        </w:tc>
        <w:tc>
          <w:tcPr>
            <w:tcW w:w="540" w:type="dxa"/>
            <w:shd w:val="clear" w:color="auto" w:fill="auto"/>
            <w:vAlign w:val="center"/>
          </w:tcPr>
          <w:p w14:paraId="428AA6CF" w14:textId="77777777" w:rsidR="005B51B1" w:rsidRPr="00214621" w:rsidRDefault="005B51B1" w:rsidP="009C4CA4">
            <w:pPr>
              <w:rPr>
                <w:rFonts w:eastAsia="Calibri"/>
                <w:szCs w:val="24"/>
              </w:rPr>
            </w:pPr>
            <w:r w:rsidRPr="00214621">
              <w:rPr>
                <w:rFonts w:eastAsia="Calibri"/>
                <w:szCs w:val="24"/>
              </w:rPr>
              <w:t>4</w:t>
            </w:r>
          </w:p>
        </w:tc>
        <w:tc>
          <w:tcPr>
            <w:tcW w:w="2273" w:type="dxa"/>
            <w:shd w:val="clear" w:color="auto" w:fill="auto"/>
            <w:vAlign w:val="center"/>
          </w:tcPr>
          <w:p w14:paraId="5C2E314F" w14:textId="68D3D0A7" w:rsidR="005B51B1" w:rsidRPr="00214621" w:rsidRDefault="005B51B1" w:rsidP="009C4CA4">
            <w:pPr>
              <w:rPr>
                <w:rFonts w:eastAsia="Calibri"/>
                <w:szCs w:val="24"/>
              </w:rPr>
            </w:pPr>
            <w:r w:rsidRPr="00214621">
              <w:rPr>
                <w:rFonts w:eastAsia="Calibri"/>
                <w:szCs w:val="24"/>
              </w:rPr>
              <w:t>-3</w:t>
            </w:r>
            <w:r w:rsidR="00B319B2">
              <w:rPr>
                <w:rFonts w:eastAsia="Calibri"/>
                <w:szCs w:val="24"/>
              </w:rPr>
              <w:t>9.06</w:t>
            </w:r>
            <w:r w:rsidRPr="00214621">
              <w:rPr>
                <w:rFonts w:eastAsia="Calibri"/>
                <w:szCs w:val="24"/>
              </w:rPr>
              <w:t xml:space="preserve"> </w:t>
            </w:r>
            <w:r w:rsidRPr="00214621">
              <w:rPr>
                <w:rFonts w:eastAsia="Calibri"/>
                <w:b/>
                <w:szCs w:val="24"/>
              </w:rPr>
              <w:t xml:space="preserve">± </w:t>
            </w:r>
            <w:r w:rsidR="00EA3C9E">
              <w:rPr>
                <w:rFonts w:eastAsia="Calibri"/>
                <w:szCs w:val="24"/>
              </w:rPr>
              <w:t>4.75</w:t>
            </w:r>
          </w:p>
        </w:tc>
        <w:tc>
          <w:tcPr>
            <w:tcW w:w="2340" w:type="dxa"/>
            <w:shd w:val="clear" w:color="auto" w:fill="auto"/>
            <w:vAlign w:val="center"/>
          </w:tcPr>
          <w:p w14:paraId="732682EE" w14:textId="5423032D" w:rsidR="005B51B1" w:rsidRPr="00214621" w:rsidRDefault="005B51B1" w:rsidP="009C4CA4">
            <w:pPr>
              <w:rPr>
                <w:rFonts w:eastAsia="Calibri"/>
                <w:szCs w:val="24"/>
              </w:rPr>
            </w:pPr>
            <w:r w:rsidRPr="00214621">
              <w:rPr>
                <w:rFonts w:eastAsia="Calibri"/>
                <w:szCs w:val="24"/>
              </w:rPr>
              <w:t>0.00 (0.00, 0.0</w:t>
            </w:r>
            <w:r w:rsidR="00EA3C9E">
              <w:rPr>
                <w:rFonts w:eastAsia="Calibri"/>
                <w:szCs w:val="24"/>
              </w:rPr>
              <w:t>1</w:t>
            </w:r>
            <w:r w:rsidRPr="00214621">
              <w:rPr>
                <w:rFonts w:eastAsia="Calibri"/>
                <w:szCs w:val="24"/>
              </w:rPr>
              <w:t>)</w:t>
            </w:r>
          </w:p>
        </w:tc>
      </w:tr>
      <w:tr w:rsidR="005B51B1" w:rsidRPr="00274329" w14:paraId="0C5F2496" w14:textId="77777777" w:rsidTr="009C4CA4">
        <w:trPr>
          <w:trHeight w:val="537"/>
        </w:trPr>
        <w:tc>
          <w:tcPr>
            <w:tcW w:w="1620" w:type="dxa"/>
            <w:tcBorders>
              <w:bottom w:val="double" w:sz="4" w:space="0" w:color="auto"/>
            </w:tcBorders>
            <w:shd w:val="clear" w:color="auto" w:fill="auto"/>
            <w:vAlign w:val="center"/>
          </w:tcPr>
          <w:p w14:paraId="097FC882" w14:textId="77777777" w:rsidR="005B51B1" w:rsidRPr="00214621" w:rsidRDefault="005B51B1" w:rsidP="009C4CA4">
            <w:pPr>
              <w:rPr>
                <w:rFonts w:eastAsia="Calibri"/>
                <w:szCs w:val="24"/>
              </w:rPr>
            </w:pPr>
            <w:r w:rsidRPr="00214621">
              <w:rPr>
                <w:rFonts w:eastAsia="Calibri"/>
                <w:szCs w:val="24"/>
              </w:rPr>
              <w:t>Stasis-gradualism</w:t>
            </w:r>
          </w:p>
        </w:tc>
        <w:tc>
          <w:tcPr>
            <w:tcW w:w="540" w:type="dxa"/>
            <w:tcBorders>
              <w:bottom w:val="double" w:sz="4" w:space="0" w:color="auto"/>
            </w:tcBorders>
            <w:shd w:val="clear" w:color="auto" w:fill="auto"/>
            <w:vAlign w:val="center"/>
          </w:tcPr>
          <w:p w14:paraId="063BCDA4" w14:textId="77777777" w:rsidR="005B51B1" w:rsidRPr="00214621" w:rsidRDefault="005B51B1" w:rsidP="009C4CA4">
            <w:pPr>
              <w:rPr>
                <w:rFonts w:eastAsia="Calibri"/>
                <w:szCs w:val="24"/>
              </w:rPr>
            </w:pPr>
            <w:r w:rsidRPr="00214621">
              <w:rPr>
                <w:rFonts w:eastAsia="Calibri"/>
                <w:szCs w:val="24"/>
              </w:rPr>
              <w:t>5</w:t>
            </w:r>
          </w:p>
        </w:tc>
        <w:tc>
          <w:tcPr>
            <w:tcW w:w="2273" w:type="dxa"/>
            <w:tcBorders>
              <w:bottom w:val="double" w:sz="4" w:space="0" w:color="auto"/>
            </w:tcBorders>
            <w:shd w:val="clear" w:color="auto" w:fill="auto"/>
            <w:vAlign w:val="center"/>
          </w:tcPr>
          <w:p w14:paraId="3F4CB8B6" w14:textId="20F889FC" w:rsidR="005B51B1" w:rsidRPr="00214621" w:rsidRDefault="005B51B1" w:rsidP="009C4CA4">
            <w:pPr>
              <w:rPr>
                <w:rFonts w:eastAsia="Calibri"/>
                <w:szCs w:val="24"/>
              </w:rPr>
            </w:pPr>
            <w:r w:rsidRPr="00214621">
              <w:rPr>
                <w:rFonts w:eastAsia="Calibri"/>
                <w:szCs w:val="24"/>
              </w:rPr>
              <w:t>-</w:t>
            </w:r>
            <w:r w:rsidR="00EA3C9E">
              <w:rPr>
                <w:rFonts w:eastAsia="Calibri"/>
                <w:szCs w:val="24"/>
              </w:rPr>
              <w:t>43.0</w:t>
            </w:r>
            <w:r w:rsidR="00B319B2">
              <w:rPr>
                <w:rFonts w:eastAsia="Calibri"/>
                <w:szCs w:val="24"/>
              </w:rPr>
              <w:t>8</w:t>
            </w:r>
            <w:r w:rsidRPr="00214621">
              <w:rPr>
                <w:rFonts w:eastAsia="Calibri"/>
                <w:szCs w:val="24"/>
              </w:rPr>
              <w:t xml:space="preserve"> </w:t>
            </w:r>
            <w:r w:rsidRPr="00214621">
              <w:rPr>
                <w:rFonts w:eastAsia="Calibri"/>
                <w:b/>
                <w:szCs w:val="24"/>
              </w:rPr>
              <w:t xml:space="preserve">± </w:t>
            </w:r>
            <w:r w:rsidRPr="00214621">
              <w:rPr>
                <w:rFonts w:eastAsia="Calibri"/>
                <w:szCs w:val="24"/>
              </w:rPr>
              <w:t>6.7</w:t>
            </w:r>
            <w:r w:rsidR="00EA3C9E">
              <w:rPr>
                <w:rFonts w:eastAsia="Calibri"/>
                <w:szCs w:val="24"/>
              </w:rPr>
              <w:t>7</w:t>
            </w:r>
          </w:p>
        </w:tc>
        <w:tc>
          <w:tcPr>
            <w:tcW w:w="2340" w:type="dxa"/>
            <w:tcBorders>
              <w:bottom w:val="double" w:sz="4" w:space="0" w:color="auto"/>
            </w:tcBorders>
            <w:shd w:val="clear" w:color="auto" w:fill="auto"/>
            <w:vAlign w:val="center"/>
          </w:tcPr>
          <w:p w14:paraId="7D56F76E" w14:textId="587AE345" w:rsidR="005B51B1" w:rsidRPr="00214621" w:rsidRDefault="005B51B1" w:rsidP="00635A8A">
            <w:pPr>
              <w:rPr>
                <w:rFonts w:eastAsia="Calibri"/>
                <w:szCs w:val="24"/>
              </w:rPr>
            </w:pPr>
            <w:r w:rsidRPr="00214621">
              <w:rPr>
                <w:rFonts w:eastAsia="Calibri"/>
                <w:szCs w:val="24"/>
              </w:rPr>
              <w:t>0.0</w:t>
            </w:r>
            <w:r w:rsidR="00EA3C9E">
              <w:rPr>
                <w:rFonts w:eastAsia="Calibri"/>
                <w:szCs w:val="24"/>
              </w:rPr>
              <w:t>2</w:t>
            </w:r>
            <w:r w:rsidRPr="00214621">
              <w:rPr>
                <w:rFonts w:eastAsia="Calibri"/>
                <w:szCs w:val="24"/>
              </w:rPr>
              <w:t xml:space="preserve"> (0.00, 0.0</w:t>
            </w:r>
            <w:r w:rsidR="00EA3C9E">
              <w:rPr>
                <w:rFonts w:eastAsia="Calibri"/>
                <w:szCs w:val="24"/>
              </w:rPr>
              <w:t>6</w:t>
            </w:r>
            <w:r w:rsidRPr="00214621">
              <w:rPr>
                <w:rFonts w:eastAsia="Calibri"/>
                <w:szCs w:val="24"/>
              </w:rPr>
              <w:t>)</w:t>
            </w:r>
          </w:p>
        </w:tc>
      </w:tr>
    </w:tbl>
    <w:p w14:paraId="390B3814" w14:textId="77777777" w:rsidR="005B51B1" w:rsidRDefault="005B51B1" w:rsidP="005B51B1">
      <w:pPr>
        <w:pStyle w:val="SMHeading"/>
        <w:spacing w:line="360" w:lineRule="auto"/>
      </w:pPr>
    </w:p>
    <w:p w14:paraId="7E7329D5" w14:textId="077B3AD7" w:rsidR="005B51B1" w:rsidRDefault="005B51B1" w:rsidP="005B51B1">
      <w:pPr>
        <w:pStyle w:val="SMHeading"/>
        <w:spacing w:line="360" w:lineRule="auto"/>
        <w:rPr>
          <w:b w:val="0"/>
        </w:rPr>
      </w:pPr>
      <w:r>
        <w:br w:type="page"/>
      </w:r>
      <w:r>
        <w:lastRenderedPageBreak/>
        <w:t>Table S4</w:t>
      </w:r>
      <w:r>
        <w:br/>
      </w:r>
      <w:r w:rsidRPr="00136BC1">
        <w:rPr>
          <w:b w:val="0"/>
        </w:rPr>
        <w:t>1000 Monte Carlo iterations resampling ages using 0.2 Ma bins and then fitting the gradualism model generated sampling distributions of parameter estimates and R</w:t>
      </w:r>
      <w:r w:rsidRPr="00136BC1">
        <w:rPr>
          <w:b w:val="0"/>
          <w:vertAlign w:val="superscript"/>
        </w:rPr>
        <w:t>2</w:t>
      </w:r>
      <w:r w:rsidRPr="00136BC1">
        <w:rPr>
          <w:b w:val="0"/>
        </w:rPr>
        <w:t xml:space="preserve"> values, the means of which were the mean estimates and the standard deviations of which were the standard error. The mean of the step distribution determines directionality, and the variance determines volatility of the trend </w:t>
      </w:r>
      <w:r w:rsidRPr="00635A8A">
        <w:rPr>
          <w:b w:val="0"/>
          <w:i/>
        </w:rPr>
        <w:fldChar w:fldCharType="begin"/>
      </w:r>
      <w:r w:rsidR="00006B9A" w:rsidRPr="00635A8A">
        <w:rPr>
          <w:b w:val="0"/>
        </w:rPr>
        <w:instrText xml:space="preserve"> ADDIN ZOTERO_ITEM CSL_CITATION {"citationID":"1tapd93q59","properties":{"formattedCitation":"[3]","plainCitation":"[3]"},"citationItems":[{"id":164,"uris":["http://zotero.org/users/2478888/items/5VFA83ZF"],"uri":["http://zotero.org/users/2478888/items/5VFA83ZF"],"itemData":{"id":164,"type":"article-journal","title":"Fitting and comparing models of phyletic evolution: random walks and beyond","container-title":"Paleobiology","page":"578-601","volume":"32","issue":"4","source":"Google Scholar","shortTitle":"Fitting and comparing models of phyletic evolution","author":[{"family":"Hunt","given":"Gene"}],"issued":{"date-parts":[["2006"]]}}}],"schema":"https://github.com/citation-style-language/schema/raw/master/csl-citation.json"} </w:instrText>
      </w:r>
      <w:r w:rsidRPr="00635A8A">
        <w:rPr>
          <w:b w:val="0"/>
          <w:i/>
        </w:rPr>
        <w:fldChar w:fldCharType="separate"/>
      </w:r>
      <w:r w:rsidR="00006B9A" w:rsidRPr="00635A8A">
        <w:rPr>
          <w:b w:val="0"/>
        </w:rPr>
        <w:t>[3]</w:t>
      </w:r>
      <w:r w:rsidRPr="00635A8A">
        <w:rPr>
          <w:b w:val="0"/>
          <w:i/>
        </w:rPr>
        <w:fldChar w:fldCharType="end"/>
      </w:r>
      <w:r w:rsidRPr="00136BC1">
        <w:rPr>
          <w:b w:val="0"/>
        </w:rPr>
        <w:t xml:space="preserve">. The mean of the step distribution can be reliably used as a time-invariant rate metric when the underlying model is actually gradualism and the step mean is much larger than the step variance, as in this </w:t>
      </w:r>
      <w:r w:rsidRPr="00635A8A">
        <w:rPr>
          <w:b w:val="0"/>
        </w:rPr>
        <w:t xml:space="preserve">case </w:t>
      </w:r>
      <w:r w:rsidRPr="00635A8A">
        <w:rPr>
          <w:b w:val="0"/>
          <w:i/>
        </w:rPr>
        <w:fldChar w:fldCharType="begin"/>
      </w:r>
      <w:r w:rsidR="00006B9A" w:rsidRPr="00635A8A">
        <w:rPr>
          <w:b w:val="0"/>
        </w:rPr>
        <w:instrText xml:space="preserve"> ADDIN ZOTERO_ITEM CSL_CITATION {"citationID":"c24l72836","properties":{"formattedCitation":"[31]","plainCitation":"[31]"},"citationItems":[{"id":125,"uris":["http://zotero.org/users/2478888/items/4QNABMCK"],"uri":["http://zotero.org/users/2478888/items/4QNABMCK"],"itemData":{"id":125,"type":"article-journal","title":"Measuring rates of phenotypic evolution and the inseparability of tempo and mode","container-title":"Paleobiology","page":"351-373","volume":"38","issue":"3","source":"bioone.org (Atypon)","DOI":"10.1666/11047.1","ISSN":"0094-8373","journalAbbreviation":"Paleobiology","author":[{"family":"Hunt","given":"Gene"}],"issued":{"date-parts":[["2012",6,1]]}}}],"schema":"https://github.com/citation-style-language/schema/raw/master/csl-citation.json"} </w:instrText>
      </w:r>
      <w:r w:rsidRPr="00635A8A">
        <w:rPr>
          <w:b w:val="0"/>
          <w:i/>
        </w:rPr>
        <w:fldChar w:fldCharType="separate"/>
      </w:r>
      <w:r w:rsidR="00006B9A" w:rsidRPr="00635A8A">
        <w:rPr>
          <w:b w:val="0"/>
        </w:rPr>
        <w:t>[31]</w:t>
      </w:r>
      <w:r w:rsidRPr="00635A8A">
        <w:rPr>
          <w:b w:val="0"/>
          <w:i/>
        </w:rPr>
        <w:fldChar w:fldCharType="end"/>
      </w:r>
      <w:r w:rsidRPr="00635A8A">
        <w:rPr>
          <w:b w:val="0"/>
        </w:rPr>
        <w:t>.</w:t>
      </w:r>
      <w:r w:rsidRPr="00136BC1">
        <w:rPr>
          <w:b w:val="0"/>
        </w:rPr>
        <w:t xml:space="preserve"> R</w:t>
      </w:r>
      <w:r w:rsidRPr="00136BC1">
        <w:rPr>
          <w:b w:val="0"/>
          <w:vertAlign w:val="superscript"/>
        </w:rPr>
        <w:t>2</w:t>
      </w:r>
      <w:r w:rsidRPr="00136BC1">
        <w:rPr>
          <w:b w:val="0"/>
        </w:rPr>
        <w:t xml:space="preserve"> was calculated for the best fit model (i.e., gradualism) because AICc scores and AICc weights only provide a measure of relative goodness of fit, whereas R</w:t>
      </w:r>
      <w:r w:rsidRPr="00136BC1">
        <w:rPr>
          <w:b w:val="0"/>
          <w:vertAlign w:val="superscript"/>
        </w:rPr>
        <w:t>2</w:t>
      </w:r>
      <w:r w:rsidRPr="00136BC1">
        <w:rPr>
          <w:b w:val="0"/>
        </w:rPr>
        <w:t xml:space="preserve"> gives a measure of absolute fit.</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880"/>
      </w:tblGrid>
      <w:tr w:rsidR="005B51B1" w14:paraId="4A23C554" w14:textId="77777777" w:rsidTr="009C4CA4">
        <w:trPr>
          <w:trHeight w:val="332"/>
        </w:trPr>
        <w:tc>
          <w:tcPr>
            <w:tcW w:w="3055" w:type="dxa"/>
            <w:tcBorders>
              <w:bottom w:val="double" w:sz="4" w:space="0" w:color="auto"/>
            </w:tcBorders>
            <w:shd w:val="clear" w:color="auto" w:fill="auto"/>
            <w:vAlign w:val="center"/>
          </w:tcPr>
          <w:p w14:paraId="2318D707" w14:textId="77777777" w:rsidR="005B51B1" w:rsidRPr="00214621" w:rsidRDefault="005B51B1" w:rsidP="009C4CA4">
            <w:pPr>
              <w:rPr>
                <w:rFonts w:eastAsia="Calibri"/>
                <w:b/>
                <w:szCs w:val="24"/>
              </w:rPr>
            </w:pPr>
            <w:r w:rsidRPr="00214621">
              <w:rPr>
                <w:rFonts w:eastAsia="Calibri"/>
                <w:b/>
                <w:szCs w:val="24"/>
              </w:rPr>
              <w:t>Parameter</w:t>
            </w:r>
          </w:p>
        </w:tc>
        <w:tc>
          <w:tcPr>
            <w:tcW w:w="2880" w:type="dxa"/>
            <w:shd w:val="clear" w:color="auto" w:fill="auto"/>
            <w:vAlign w:val="center"/>
          </w:tcPr>
          <w:p w14:paraId="0AFDEAC2" w14:textId="77777777" w:rsidR="005B51B1" w:rsidRPr="00214621" w:rsidRDefault="005B51B1" w:rsidP="009C4CA4">
            <w:pPr>
              <w:rPr>
                <w:rFonts w:eastAsia="Calibri"/>
                <w:b/>
                <w:szCs w:val="24"/>
              </w:rPr>
            </w:pPr>
            <w:r w:rsidRPr="00214621">
              <w:rPr>
                <w:rFonts w:eastAsia="Calibri"/>
                <w:b/>
                <w:szCs w:val="24"/>
              </w:rPr>
              <w:t>Mean ± standard error</w:t>
            </w:r>
          </w:p>
        </w:tc>
      </w:tr>
      <w:tr w:rsidR="005B51B1" w14:paraId="07C3CC46" w14:textId="77777777" w:rsidTr="009C4CA4">
        <w:trPr>
          <w:trHeight w:val="330"/>
        </w:trPr>
        <w:tc>
          <w:tcPr>
            <w:tcW w:w="3055" w:type="dxa"/>
            <w:tcBorders>
              <w:top w:val="double" w:sz="4" w:space="0" w:color="auto"/>
            </w:tcBorders>
            <w:shd w:val="clear" w:color="auto" w:fill="auto"/>
            <w:vAlign w:val="center"/>
          </w:tcPr>
          <w:p w14:paraId="595611D6" w14:textId="77777777" w:rsidR="005B51B1" w:rsidRPr="00214621" w:rsidRDefault="005B51B1" w:rsidP="009C4CA4">
            <w:pPr>
              <w:rPr>
                <w:rFonts w:eastAsia="Calibri"/>
                <w:b/>
                <w:szCs w:val="24"/>
              </w:rPr>
            </w:pPr>
            <w:r w:rsidRPr="00214621">
              <w:rPr>
                <w:rFonts w:eastAsia="Calibri"/>
                <w:szCs w:val="24"/>
              </w:rPr>
              <w:t>Initial ECV</w:t>
            </w:r>
          </w:p>
        </w:tc>
        <w:tc>
          <w:tcPr>
            <w:tcW w:w="2880" w:type="dxa"/>
            <w:tcBorders>
              <w:top w:val="double" w:sz="4" w:space="0" w:color="auto"/>
            </w:tcBorders>
            <w:shd w:val="clear" w:color="auto" w:fill="auto"/>
            <w:vAlign w:val="center"/>
          </w:tcPr>
          <w:p w14:paraId="55F73547" w14:textId="14D5748F" w:rsidR="005B51B1" w:rsidRPr="00214621" w:rsidRDefault="005B51B1" w:rsidP="009C4CA4">
            <w:pPr>
              <w:rPr>
                <w:rFonts w:eastAsia="Calibri"/>
                <w:b/>
                <w:szCs w:val="24"/>
              </w:rPr>
            </w:pPr>
            <w:r w:rsidRPr="00214621">
              <w:rPr>
                <w:rFonts w:eastAsia="Calibri"/>
                <w:szCs w:val="24"/>
              </w:rPr>
              <w:t>2.60</w:t>
            </w:r>
            <w:r w:rsidR="00635A8A">
              <w:rPr>
                <w:rFonts w:eastAsia="Calibri"/>
                <w:szCs w:val="24"/>
              </w:rPr>
              <w:t>9</w:t>
            </w:r>
            <w:r w:rsidRPr="00214621">
              <w:rPr>
                <w:rFonts w:eastAsia="Calibri"/>
                <w:szCs w:val="24"/>
              </w:rPr>
              <w:t xml:space="preserve"> </w:t>
            </w:r>
            <w:r w:rsidRPr="00214621">
              <w:rPr>
                <w:rFonts w:eastAsia="Calibri"/>
                <w:b/>
                <w:szCs w:val="24"/>
              </w:rPr>
              <w:t xml:space="preserve">± </w:t>
            </w:r>
            <w:r w:rsidRPr="00214621">
              <w:rPr>
                <w:rFonts w:eastAsia="Calibri"/>
                <w:szCs w:val="24"/>
              </w:rPr>
              <w:t>0.004</w:t>
            </w:r>
          </w:p>
        </w:tc>
      </w:tr>
      <w:tr w:rsidR="005B51B1" w14:paraId="79B589BD" w14:textId="77777777" w:rsidTr="009C4CA4">
        <w:trPr>
          <w:trHeight w:val="330"/>
        </w:trPr>
        <w:tc>
          <w:tcPr>
            <w:tcW w:w="3055" w:type="dxa"/>
            <w:tcBorders>
              <w:bottom w:val="single" w:sz="4" w:space="0" w:color="auto"/>
            </w:tcBorders>
            <w:shd w:val="clear" w:color="auto" w:fill="auto"/>
            <w:vAlign w:val="center"/>
          </w:tcPr>
          <w:p w14:paraId="7D8046FC" w14:textId="77777777" w:rsidR="005B51B1" w:rsidRPr="00214621" w:rsidRDefault="005B51B1" w:rsidP="009C4CA4">
            <w:pPr>
              <w:rPr>
                <w:rFonts w:eastAsia="Calibri"/>
                <w:szCs w:val="24"/>
              </w:rPr>
            </w:pPr>
            <w:r w:rsidRPr="00214621">
              <w:rPr>
                <w:rFonts w:eastAsia="Calibri"/>
                <w:szCs w:val="24"/>
              </w:rPr>
              <w:t>Mean of step distribution</w:t>
            </w:r>
          </w:p>
        </w:tc>
        <w:tc>
          <w:tcPr>
            <w:tcW w:w="2880" w:type="dxa"/>
            <w:tcBorders>
              <w:bottom w:val="single" w:sz="4" w:space="0" w:color="auto"/>
            </w:tcBorders>
            <w:shd w:val="clear" w:color="auto" w:fill="auto"/>
            <w:vAlign w:val="center"/>
          </w:tcPr>
          <w:p w14:paraId="3D301C2C" w14:textId="77777777" w:rsidR="005B51B1" w:rsidRPr="00214621" w:rsidRDefault="005B51B1" w:rsidP="009C4CA4">
            <w:pPr>
              <w:rPr>
                <w:rFonts w:eastAsia="Calibri"/>
                <w:szCs w:val="24"/>
              </w:rPr>
            </w:pPr>
            <w:r w:rsidRPr="00214621">
              <w:rPr>
                <w:rFonts w:eastAsia="Calibri"/>
                <w:szCs w:val="24"/>
              </w:rPr>
              <w:t xml:space="preserve">0.146 </w:t>
            </w:r>
            <w:r w:rsidRPr="00214621">
              <w:rPr>
                <w:rFonts w:eastAsia="Calibri"/>
                <w:b/>
                <w:szCs w:val="24"/>
              </w:rPr>
              <w:t xml:space="preserve">± </w:t>
            </w:r>
            <w:r w:rsidRPr="00214621">
              <w:rPr>
                <w:rFonts w:eastAsia="Calibri"/>
                <w:szCs w:val="24"/>
              </w:rPr>
              <w:t>0.005</w:t>
            </w:r>
          </w:p>
        </w:tc>
      </w:tr>
      <w:tr w:rsidR="005B51B1" w14:paraId="1F10F220" w14:textId="77777777" w:rsidTr="009C4CA4">
        <w:trPr>
          <w:trHeight w:val="350"/>
        </w:trPr>
        <w:tc>
          <w:tcPr>
            <w:tcW w:w="3055" w:type="dxa"/>
            <w:tcBorders>
              <w:bottom w:val="double" w:sz="4" w:space="0" w:color="auto"/>
            </w:tcBorders>
            <w:shd w:val="clear" w:color="auto" w:fill="auto"/>
            <w:vAlign w:val="center"/>
          </w:tcPr>
          <w:p w14:paraId="44721BFC" w14:textId="77777777" w:rsidR="005B51B1" w:rsidRPr="00214621" w:rsidRDefault="005B51B1" w:rsidP="009C4CA4">
            <w:pPr>
              <w:rPr>
                <w:rFonts w:eastAsia="Calibri"/>
                <w:szCs w:val="24"/>
              </w:rPr>
            </w:pPr>
            <w:r w:rsidRPr="00214621">
              <w:rPr>
                <w:rFonts w:eastAsia="Calibri"/>
                <w:szCs w:val="24"/>
              </w:rPr>
              <w:t>Variance of step distribution</w:t>
            </w:r>
          </w:p>
        </w:tc>
        <w:tc>
          <w:tcPr>
            <w:tcW w:w="2880" w:type="dxa"/>
            <w:tcBorders>
              <w:bottom w:val="double" w:sz="4" w:space="0" w:color="auto"/>
            </w:tcBorders>
            <w:shd w:val="clear" w:color="auto" w:fill="auto"/>
            <w:vAlign w:val="center"/>
          </w:tcPr>
          <w:p w14:paraId="68A863FE" w14:textId="5BE54F64" w:rsidR="005B51B1" w:rsidRPr="00214621" w:rsidRDefault="005B51B1" w:rsidP="009C4CA4">
            <w:pPr>
              <w:keepNext/>
              <w:rPr>
                <w:rFonts w:eastAsia="Calibri"/>
                <w:szCs w:val="24"/>
              </w:rPr>
            </w:pPr>
            <w:r w:rsidRPr="00214621">
              <w:rPr>
                <w:rFonts w:eastAsia="Calibri"/>
                <w:szCs w:val="24"/>
              </w:rPr>
              <w:t xml:space="preserve">0.004 </w:t>
            </w:r>
            <w:r w:rsidRPr="00214621">
              <w:rPr>
                <w:rFonts w:eastAsia="Calibri"/>
                <w:b/>
                <w:szCs w:val="24"/>
              </w:rPr>
              <w:t xml:space="preserve">± </w:t>
            </w:r>
            <w:r w:rsidRPr="00214621">
              <w:rPr>
                <w:rFonts w:eastAsia="Calibri"/>
                <w:szCs w:val="24"/>
              </w:rPr>
              <w:t>0.00</w:t>
            </w:r>
            <w:r w:rsidR="00635A8A">
              <w:rPr>
                <w:rFonts w:eastAsia="Calibri"/>
                <w:szCs w:val="24"/>
              </w:rPr>
              <w:t>3</w:t>
            </w:r>
          </w:p>
        </w:tc>
      </w:tr>
      <w:tr w:rsidR="005B51B1" w14:paraId="7E5A9AD2" w14:textId="77777777" w:rsidTr="009C4CA4">
        <w:trPr>
          <w:trHeight w:val="710"/>
        </w:trPr>
        <w:tc>
          <w:tcPr>
            <w:tcW w:w="5935" w:type="dxa"/>
            <w:gridSpan w:val="2"/>
            <w:tcBorders>
              <w:top w:val="double" w:sz="4" w:space="0" w:color="auto"/>
            </w:tcBorders>
            <w:shd w:val="clear" w:color="auto" w:fill="auto"/>
            <w:vAlign w:val="center"/>
          </w:tcPr>
          <w:p w14:paraId="682569D9" w14:textId="79018BE9" w:rsidR="005B51B1" w:rsidRPr="00214621" w:rsidRDefault="005B51B1" w:rsidP="009C4CA4">
            <w:pPr>
              <w:keepNext/>
              <w:rPr>
                <w:rFonts w:eastAsia="Calibri"/>
                <w:szCs w:val="24"/>
              </w:rPr>
            </w:pPr>
            <w:r w:rsidRPr="00214621">
              <w:rPr>
                <w:rFonts w:eastAsia="Calibri"/>
                <w:szCs w:val="24"/>
              </w:rPr>
              <w:t>R</w:t>
            </w:r>
            <w:r w:rsidRPr="00214621">
              <w:rPr>
                <w:rFonts w:eastAsia="Calibri"/>
                <w:szCs w:val="24"/>
                <w:vertAlign w:val="superscript"/>
              </w:rPr>
              <w:t>2</w:t>
            </w:r>
            <w:r w:rsidRPr="00214621">
              <w:rPr>
                <w:rFonts w:eastAsia="Calibri"/>
                <w:szCs w:val="24"/>
              </w:rPr>
              <w:t>:  0.6</w:t>
            </w:r>
            <w:r w:rsidR="00635A8A">
              <w:rPr>
                <w:rFonts w:eastAsia="Calibri"/>
                <w:szCs w:val="24"/>
              </w:rPr>
              <w:t>76</w:t>
            </w:r>
            <w:r w:rsidRPr="00214621">
              <w:rPr>
                <w:rFonts w:eastAsia="Calibri"/>
                <w:szCs w:val="24"/>
              </w:rPr>
              <w:t xml:space="preserve"> </w:t>
            </w:r>
            <w:r w:rsidRPr="00214621">
              <w:rPr>
                <w:rFonts w:eastAsia="Calibri"/>
                <w:b/>
                <w:szCs w:val="24"/>
              </w:rPr>
              <w:t xml:space="preserve">± </w:t>
            </w:r>
            <w:r w:rsidRPr="00214621">
              <w:rPr>
                <w:rFonts w:eastAsia="Calibri"/>
                <w:szCs w:val="24"/>
              </w:rPr>
              <w:t>0.02</w:t>
            </w:r>
            <w:r w:rsidR="00635A8A">
              <w:rPr>
                <w:rFonts w:eastAsia="Calibri"/>
                <w:szCs w:val="24"/>
              </w:rPr>
              <w:t>5</w:t>
            </w:r>
          </w:p>
        </w:tc>
      </w:tr>
    </w:tbl>
    <w:p w14:paraId="74F26731" w14:textId="7EE7B888" w:rsidR="00B32FEC" w:rsidRDefault="00B32FEC" w:rsidP="005B51B1">
      <w:pPr>
        <w:pStyle w:val="SMHeading"/>
        <w:spacing w:line="360" w:lineRule="auto"/>
      </w:pPr>
    </w:p>
    <w:p w14:paraId="1A9F2F32" w14:textId="77777777" w:rsidR="00B32FEC" w:rsidRDefault="00B32FEC">
      <w:pPr>
        <w:spacing w:after="160" w:line="259" w:lineRule="auto"/>
        <w:rPr>
          <w:b/>
          <w:bCs/>
          <w:kern w:val="32"/>
          <w:szCs w:val="24"/>
        </w:rPr>
      </w:pPr>
      <w:r>
        <w:br w:type="page"/>
      </w:r>
    </w:p>
    <w:p w14:paraId="115A50CB" w14:textId="2622E90A" w:rsidR="00B32FEC" w:rsidRPr="00CF2054" w:rsidRDefault="00B32FEC" w:rsidP="00B32FEC">
      <w:pPr>
        <w:pStyle w:val="SMHeading"/>
        <w:spacing w:line="360" w:lineRule="auto"/>
      </w:pPr>
      <w:r>
        <w:lastRenderedPageBreak/>
        <w:t>Table S5</w:t>
      </w:r>
      <w:r w:rsidR="00D014BA">
        <w:br/>
      </w:r>
      <w:r w:rsidRPr="00136BC1">
        <w:rPr>
          <w:b w:val="0"/>
        </w:rPr>
        <w:t>Model selection results for our clade-level evolutionary mode</w:t>
      </w:r>
      <w:r w:rsidR="008217E9">
        <w:rPr>
          <w:b w:val="0"/>
        </w:rPr>
        <w:t xml:space="preserve"> sensitivity</w:t>
      </w:r>
      <w:r w:rsidR="000419EC">
        <w:rPr>
          <w:b w:val="0"/>
        </w:rPr>
        <w:t xml:space="preserve"> analysi</w:t>
      </w:r>
      <w:r w:rsidRPr="00136BC1">
        <w:rPr>
          <w:b w:val="0"/>
        </w:rPr>
        <w:t>s</w:t>
      </w:r>
      <w:r>
        <w:rPr>
          <w:b w:val="0"/>
        </w:rPr>
        <w:t xml:space="preserve"> with </w:t>
      </w:r>
      <w:r w:rsidR="0077587B">
        <w:rPr>
          <w:b w:val="0"/>
        </w:rPr>
        <w:t>especially incomplete or damaged</w:t>
      </w:r>
      <w:r>
        <w:rPr>
          <w:b w:val="0"/>
        </w:rPr>
        <w:t xml:space="preserve"> specimens removed</w:t>
      </w:r>
      <w:r w:rsidR="00AA1224">
        <w:rPr>
          <w:b w:val="0"/>
        </w:rPr>
        <w:t xml:space="preserve"> (</w:t>
      </w:r>
      <w:r w:rsidR="002E64D4">
        <w:rPr>
          <w:b w:val="0"/>
        </w:rPr>
        <w:t>n</w:t>
      </w:r>
      <w:r w:rsidR="00AA1224">
        <w:rPr>
          <w:b w:val="0"/>
        </w:rPr>
        <w:t xml:space="preserve"> = 10; see main text)</w:t>
      </w:r>
      <w:r w:rsidRPr="00136BC1">
        <w:rPr>
          <w:b w:val="0"/>
        </w:rPr>
        <w:t xml:space="preserve">. </w:t>
      </w:r>
      <w:r w:rsidR="0077587B">
        <w:rPr>
          <w:b w:val="0"/>
        </w:rPr>
        <w:t>Except for the removal of those specimens, this is the same exact analysis that produced Table S3</w:t>
      </w:r>
      <w:r>
        <w:rPr>
          <w:b w:val="0"/>
        </w:rPr>
        <w:t>.</w:t>
      </w:r>
      <w:r w:rsidR="002E64D4">
        <w:rPr>
          <w:b w:val="0"/>
        </w:rPr>
        <w:t xml:space="preserve"> </w:t>
      </w:r>
      <w:r w:rsidR="00597618">
        <w:rPr>
          <w:b w:val="0"/>
        </w:rPr>
        <w:t>The fact that the numbers from these two tables are virtually identical</w:t>
      </w:r>
      <w:r w:rsidR="002E64D4">
        <w:rPr>
          <w:b w:val="0"/>
        </w:rPr>
        <w:t xml:space="preserve"> demonstrates that the inclusion of these specimens does not affect our results.</w:t>
      </w:r>
      <w:r w:rsidR="0045270C">
        <w:rPr>
          <w:b w:val="0"/>
        </w:rPr>
        <w:t xml:space="preserve"> </w:t>
      </w:r>
    </w:p>
    <w:tbl>
      <w:tblPr>
        <w:tblW w:w="6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540"/>
        <w:gridCol w:w="2273"/>
        <w:gridCol w:w="2340"/>
      </w:tblGrid>
      <w:tr w:rsidR="00B32FEC" w:rsidRPr="00274329" w14:paraId="7FEEB7DA" w14:textId="77777777" w:rsidTr="00C52CA4">
        <w:trPr>
          <w:trHeight w:val="523"/>
        </w:trPr>
        <w:tc>
          <w:tcPr>
            <w:tcW w:w="1620" w:type="dxa"/>
            <w:tcBorders>
              <w:bottom w:val="double" w:sz="4" w:space="0" w:color="auto"/>
            </w:tcBorders>
            <w:shd w:val="clear" w:color="auto" w:fill="auto"/>
            <w:vAlign w:val="center"/>
          </w:tcPr>
          <w:p w14:paraId="50DA3FC8" w14:textId="77777777" w:rsidR="00B32FEC" w:rsidRPr="00214621" w:rsidRDefault="00B32FEC" w:rsidP="00C52CA4">
            <w:pPr>
              <w:rPr>
                <w:rFonts w:eastAsia="Calibri"/>
                <w:b/>
                <w:szCs w:val="24"/>
              </w:rPr>
            </w:pPr>
            <w:r w:rsidRPr="00214621">
              <w:rPr>
                <w:rFonts w:eastAsia="Calibri"/>
                <w:b/>
                <w:szCs w:val="24"/>
              </w:rPr>
              <w:t>Evolutionary mode</w:t>
            </w:r>
          </w:p>
        </w:tc>
        <w:tc>
          <w:tcPr>
            <w:tcW w:w="540" w:type="dxa"/>
            <w:tcBorders>
              <w:bottom w:val="double" w:sz="4" w:space="0" w:color="auto"/>
            </w:tcBorders>
            <w:shd w:val="clear" w:color="auto" w:fill="auto"/>
            <w:vAlign w:val="center"/>
          </w:tcPr>
          <w:p w14:paraId="5FCDB2CC" w14:textId="77777777" w:rsidR="00B32FEC" w:rsidRPr="00214621" w:rsidRDefault="00B32FEC" w:rsidP="00C52CA4">
            <w:pPr>
              <w:rPr>
                <w:rFonts w:eastAsia="Calibri"/>
                <w:b/>
                <w:szCs w:val="24"/>
              </w:rPr>
            </w:pPr>
            <w:r w:rsidRPr="00214621">
              <w:rPr>
                <w:rFonts w:eastAsia="Calibri"/>
                <w:b/>
                <w:szCs w:val="24"/>
              </w:rPr>
              <w:t>k</w:t>
            </w:r>
          </w:p>
        </w:tc>
        <w:tc>
          <w:tcPr>
            <w:tcW w:w="2273" w:type="dxa"/>
            <w:tcBorders>
              <w:bottom w:val="double" w:sz="4" w:space="0" w:color="auto"/>
            </w:tcBorders>
            <w:shd w:val="clear" w:color="auto" w:fill="auto"/>
            <w:vAlign w:val="center"/>
          </w:tcPr>
          <w:p w14:paraId="71511F76" w14:textId="77777777" w:rsidR="00B32FEC" w:rsidRPr="00214621" w:rsidRDefault="00B32FEC" w:rsidP="00C52CA4">
            <w:pPr>
              <w:rPr>
                <w:rFonts w:eastAsia="Calibri"/>
                <w:b/>
                <w:szCs w:val="24"/>
              </w:rPr>
            </w:pPr>
            <w:r w:rsidRPr="00214621">
              <w:rPr>
                <w:rFonts w:eastAsia="Calibri"/>
                <w:b/>
                <w:szCs w:val="24"/>
              </w:rPr>
              <w:t>Raw AICc mean ± one standard error</w:t>
            </w:r>
          </w:p>
        </w:tc>
        <w:tc>
          <w:tcPr>
            <w:tcW w:w="2340" w:type="dxa"/>
            <w:tcBorders>
              <w:bottom w:val="double" w:sz="4" w:space="0" w:color="auto"/>
            </w:tcBorders>
            <w:shd w:val="clear" w:color="auto" w:fill="auto"/>
            <w:vAlign w:val="center"/>
          </w:tcPr>
          <w:p w14:paraId="5030EC86" w14:textId="77777777" w:rsidR="00B32FEC" w:rsidRPr="00214621" w:rsidRDefault="00B32FEC" w:rsidP="00C52CA4">
            <w:pPr>
              <w:rPr>
                <w:rFonts w:eastAsia="Calibri"/>
                <w:b/>
                <w:szCs w:val="24"/>
              </w:rPr>
            </w:pPr>
            <w:r w:rsidRPr="00214621">
              <w:rPr>
                <w:rFonts w:eastAsia="Calibri"/>
                <w:b/>
                <w:szCs w:val="24"/>
              </w:rPr>
              <w:t>AICc weight median (1</w:t>
            </w:r>
            <w:r w:rsidRPr="00214621">
              <w:rPr>
                <w:rFonts w:eastAsia="Calibri"/>
                <w:b/>
                <w:szCs w:val="24"/>
                <w:vertAlign w:val="superscript"/>
              </w:rPr>
              <w:t>st</w:t>
            </w:r>
            <w:r w:rsidRPr="00214621">
              <w:rPr>
                <w:rFonts w:eastAsia="Calibri"/>
                <w:b/>
                <w:szCs w:val="24"/>
              </w:rPr>
              <w:t xml:space="preserve"> &amp; 3</w:t>
            </w:r>
            <w:r w:rsidRPr="00214621">
              <w:rPr>
                <w:rFonts w:eastAsia="Calibri"/>
                <w:b/>
                <w:szCs w:val="24"/>
                <w:vertAlign w:val="superscript"/>
              </w:rPr>
              <w:t>rd</w:t>
            </w:r>
            <w:r w:rsidRPr="00214621">
              <w:rPr>
                <w:rFonts w:eastAsia="Calibri"/>
                <w:b/>
                <w:szCs w:val="24"/>
              </w:rPr>
              <w:t xml:space="preserve"> quartiles)</w:t>
            </w:r>
          </w:p>
        </w:tc>
      </w:tr>
      <w:tr w:rsidR="00B32FEC" w:rsidRPr="00274329" w14:paraId="150FC339" w14:textId="77777777" w:rsidTr="00C52CA4">
        <w:trPr>
          <w:trHeight w:val="438"/>
        </w:trPr>
        <w:tc>
          <w:tcPr>
            <w:tcW w:w="1620" w:type="dxa"/>
            <w:tcBorders>
              <w:top w:val="double" w:sz="4" w:space="0" w:color="auto"/>
            </w:tcBorders>
            <w:shd w:val="clear" w:color="auto" w:fill="auto"/>
            <w:vAlign w:val="center"/>
          </w:tcPr>
          <w:p w14:paraId="04102AF9" w14:textId="77777777" w:rsidR="00B32FEC" w:rsidRPr="00214621" w:rsidRDefault="00B32FEC" w:rsidP="00C52CA4">
            <w:pPr>
              <w:rPr>
                <w:rFonts w:eastAsia="Calibri"/>
                <w:szCs w:val="24"/>
              </w:rPr>
            </w:pPr>
            <w:r w:rsidRPr="00214621">
              <w:rPr>
                <w:rFonts w:eastAsia="Calibri"/>
                <w:szCs w:val="24"/>
              </w:rPr>
              <w:t>Random walk</w:t>
            </w:r>
          </w:p>
        </w:tc>
        <w:tc>
          <w:tcPr>
            <w:tcW w:w="540" w:type="dxa"/>
            <w:tcBorders>
              <w:top w:val="double" w:sz="4" w:space="0" w:color="auto"/>
            </w:tcBorders>
            <w:shd w:val="clear" w:color="auto" w:fill="auto"/>
            <w:vAlign w:val="center"/>
          </w:tcPr>
          <w:p w14:paraId="7B4D40D6" w14:textId="77777777" w:rsidR="00B32FEC" w:rsidRPr="00214621" w:rsidRDefault="00B32FEC" w:rsidP="00C52CA4">
            <w:pPr>
              <w:rPr>
                <w:rFonts w:eastAsia="Calibri"/>
                <w:szCs w:val="24"/>
              </w:rPr>
            </w:pPr>
            <w:r w:rsidRPr="00214621">
              <w:rPr>
                <w:rFonts w:eastAsia="Calibri"/>
                <w:szCs w:val="24"/>
              </w:rPr>
              <w:t>2</w:t>
            </w:r>
          </w:p>
        </w:tc>
        <w:tc>
          <w:tcPr>
            <w:tcW w:w="2273" w:type="dxa"/>
            <w:tcBorders>
              <w:top w:val="double" w:sz="4" w:space="0" w:color="auto"/>
            </w:tcBorders>
            <w:shd w:val="clear" w:color="auto" w:fill="auto"/>
            <w:vAlign w:val="center"/>
          </w:tcPr>
          <w:p w14:paraId="5DBD3C4A" w14:textId="28B9B920" w:rsidR="00B32FEC" w:rsidRPr="00214621" w:rsidRDefault="00B32FEC" w:rsidP="003624B1">
            <w:pPr>
              <w:rPr>
                <w:rFonts w:eastAsia="Calibri"/>
                <w:szCs w:val="24"/>
              </w:rPr>
            </w:pPr>
            <w:r w:rsidRPr="00214621">
              <w:rPr>
                <w:rFonts w:eastAsia="Calibri"/>
                <w:szCs w:val="24"/>
              </w:rPr>
              <w:t>-4</w:t>
            </w:r>
            <w:r w:rsidR="003C7560">
              <w:rPr>
                <w:rFonts w:eastAsia="Calibri"/>
                <w:szCs w:val="24"/>
              </w:rPr>
              <w:t>3.92</w:t>
            </w:r>
            <w:r w:rsidRPr="00214621">
              <w:rPr>
                <w:rFonts w:eastAsia="Calibri"/>
                <w:szCs w:val="24"/>
              </w:rPr>
              <w:t xml:space="preserve"> </w:t>
            </w:r>
            <w:r w:rsidRPr="00214621">
              <w:rPr>
                <w:rFonts w:eastAsia="Calibri"/>
                <w:b/>
                <w:szCs w:val="24"/>
              </w:rPr>
              <w:t xml:space="preserve">± </w:t>
            </w:r>
            <w:r w:rsidR="003C7560">
              <w:rPr>
                <w:rFonts w:eastAsia="Calibri"/>
                <w:szCs w:val="24"/>
              </w:rPr>
              <w:t>4.60</w:t>
            </w:r>
          </w:p>
        </w:tc>
        <w:tc>
          <w:tcPr>
            <w:tcW w:w="2340" w:type="dxa"/>
            <w:tcBorders>
              <w:top w:val="double" w:sz="4" w:space="0" w:color="auto"/>
            </w:tcBorders>
            <w:shd w:val="clear" w:color="auto" w:fill="auto"/>
            <w:vAlign w:val="center"/>
          </w:tcPr>
          <w:p w14:paraId="3FBEC81C" w14:textId="7B77980C" w:rsidR="00B32FEC" w:rsidRPr="00214621" w:rsidRDefault="00B32FEC" w:rsidP="00C52CA4">
            <w:pPr>
              <w:rPr>
                <w:rFonts w:eastAsia="Calibri"/>
                <w:szCs w:val="24"/>
              </w:rPr>
            </w:pPr>
            <w:r w:rsidRPr="00214621">
              <w:rPr>
                <w:rFonts w:eastAsia="Calibri"/>
                <w:szCs w:val="24"/>
              </w:rPr>
              <w:t>0.0</w:t>
            </w:r>
            <w:r>
              <w:rPr>
                <w:rFonts w:eastAsia="Calibri"/>
                <w:szCs w:val="24"/>
              </w:rPr>
              <w:t>6</w:t>
            </w:r>
            <w:r w:rsidRPr="00214621">
              <w:rPr>
                <w:rFonts w:eastAsia="Calibri"/>
                <w:szCs w:val="24"/>
              </w:rPr>
              <w:t xml:space="preserve"> (0.02, 0.1</w:t>
            </w:r>
            <w:r w:rsidR="008217E9">
              <w:rPr>
                <w:rFonts w:eastAsia="Calibri"/>
                <w:szCs w:val="24"/>
              </w:rPr>
              <w:t>3</w:t>
            </w:r>
            <w:r w:rsidRPr="00214621">
              <w:rPr>
                <w:rFonts w:eastAsia="Calibri"/>
                <w:szCs w:val="24"/>
              </w:rPr>
              <w:t>)</w:t>
            </w:r>
          </w:p>
        </w:tc>
      </w:tr>
      <w:tr w:rsidR="00B32FEC" w:rsidRPr="00274329" w14:paraId="6B38DDCA" w14:textId="77777777" w:rsidTr="00C52CA4">
        <w:trPr>
          <w:trHeight w:val="440"/>
        </w:trPr>
        <w:tc>
          <w:tcPr>
            <w:tcW w:w="1620" w:type="dxa"/>
            <w:shd w:val="clear" w:color="auto" w:fill="auto"/>
            <w:vAlign w:val="center"/>
          </w:tcPr>
          <w:p w14:paraId="18C12E83" w14:textId="77777777" w:rsidR="00B32FEC" w:rsidRPr="00214621" w:rsidRDefault="00B32FEC" w:rsidP="00C52CA4">
            <w:pPr>
              <w:rPr>
                <w:rFonts w:eastAsia="Calibri"/>
                <w:szCs w:val="24"/>
              </w:rPr>
            </w:pPr>
            <w:r w:rsidRPr="00214621">
              <w:rPr>
                <w:rFonts w:eastAsia="Calibri"/>
                <w:szCs w:val="24"/>
              </w:rPr>
              <w:t>Gradualism</w:t>
            </w:r>
          </w:p>
        </w:tc>
        <w:tc>
          <w:tcPr>
            <w:tcW w:w="540" w:type="dxa"/>
            <w:shd w:val="clear" w:color="auto" w:fill="auto"/>
            <w:vAlign w:val="center"/>
          </w:tcPr>
          <w:p w14:paraId="46221209" w14:textId="77777777" w:rsidR="00B32FEC" w:rsidRPr="00214621" w:rsidRDefault="00B32FEC" w:rsidP="00C52CA4">
            <w:pPr>
              <w:rPr>
                <w:rFonts w:eastAsia="Calibri"/>
                <w:szCs w:val="24"/>
              </w:rPr>
            </w:pPr>
            <w:r w:rsidRPr="00214621">
              <w:rPr>
                <w:rFonts w:eastAsia="Calibri"/>
                <w:szCs w:val="24"/>
              </w:rPr>
              <w:t>3</w:t>
            </w:r>
          </w:p>
        </w:tc>
        <w:tc>
          <w:tcPr>
            <w:tcW w:w="2273" w:type="dxa"/>
            <w:shd w:val="clear" w:color="auto" w:fill="auto"/>
            <w:vAlign w:val="center"/>
          </w:tcPr>
          <w:p w14:paraId="241AB0D3" w14:textId="37DED308" w:rsidR="00B32FEC" w:rsidRPr="00214621" w:rsidRDefault="003C7560" w:rsidP="003624B1">
            <w:pPr>
              <w:rPr>
                <w:rFonts w:eastAsia="Calibri"/>
                <w:szCs w:val="24"/>
              </w:rPr>
            </w:pPr>
            <w:r>
              <w:rPr>
                <w:rFonts w:eastAsia="Calibri"/>
                <w:szCs w:val="24"/>
              </w:rPr>
              <w:t>-49.33</w:t>
            </w:r>
            <w:r w:rsidR="00B32FEC" w:rsidRPr="00214621">
              <w:rPr>
                <w:rFonts w:eastAsia="Calibri"/>
                <w:szCs w:val="24"/>
              </w:rPr>
              <w:t xml:space="preserve"> </w:t>
            </w:r>
            <w:r w:rsidR="00B32FEC" w:rsidRPr="00214621">
              <w:rPr>
                <w:rFonts w:eastAsia="Calibri"/>
                <w:b/>
                <w:szCs w:val="24"/>
              </w:rPr>
              <w:t xml:space="preserve">± </w:t>
            </w:r>
            <w:r>
              <w:rPr>
                <w:rFonts w:eastAsia="Calibri"/>
                <w:szCs w:val="24"/>
              </w:rPr>
              <w:t>6.84</w:t>
            </w:r>
          </w:p>
        </w:tc>
        <w:tc>
          <w:tcPr>
            <w:tcW w:w="2340" w:type="dxa"/>
            <w:shd w:val="clear" w:color="auto" w:fill="auto"/>
            <w:vAlign w:val="center"/>
          </w:tcPr>
          <w:p w14:paraId="2EFE420E" w14:textId="1C98C735" w:rsidR="00B32FEC" w:rsidRPr="00214621" w:rsidRDefault="00B32FEC" w:rsidP="008217E9">
            <w:pPr>
              <w:rPr>
                <w:rFonts w:eastAsia="Calibri"/>
                <w:szCs w:val="24"/>
              </w:rPr>
            </w:pPr>
            <w:r w:rsidRPr="00214621">
              <w:rPr>
                <w:rFonts w:eastAsia="Calibri"/>
                <w:szCs w:val="24"/>
              </w:rPr>
              <w:t>0.9</w:t>
            </w:r>
            <w:r>
              <w:rPr>
                <w:rFonts w:eastAsia="Calibri"/>
                <w:szCs w:val="24"/>
              </w:rPr>
              <w:t>0</w:t>
            </w:r>
            <w:r w:rsidR="008217E9">
              <w:rPr>
                <w:rFonts w:eastAsia="Calibri"/>
                <w:szCs w:val="24"/>
              </w:rPr>
              <w:t xml:space="preserve"> (0.79,</w:t>
            </w:r>
            <w:r w:rsidRPr="00214621">
              <w:rPr>
                <w:rFonts w:eastAsia="Calibri"/>
                <w:szCs w:val="24"/>
              </w:rPr>
              <w:t xml:space="preserve"> 0.9</w:t>
            </w:r>
            <w:r w:rsidR="008217E9">
              <w:rPr>
                <w:rFonts w:eastAsia="Calibri"/>
                <w:szCs w:val="24"/>
              </w:rPr>
              <w:t>6</w:t>
            </w:r>
            <w:r w:rsidRPr="00214621">
              <w:rPr>
                <w:rFonts w:eastAsia="Calibri"/>
                <w:szCs w:val="24"/>
              </w:rPr>
              <w:t>)</w:t>
            </w:r>
          </w:p>
        </w:tc>
      </w:tr>
      <w:tr w:rsidR="00B32FEC" w:rsidRPr="00274329" w14:paraId="72BBD713" w14:textId="77777777" w:rsidTr="00C52CA4">
        <w:trPr>
          <w:trHeight w:val="440"/>
        </w:trPr>
        <w:tc>
          <w:tcPr>
            <w:tcW w:w="1620" w:type="dxa"/>
            <w:shd w:val="clear" w:color="auto" w:fill="auto"/>
            <w:vAlign w:val="center"/>
          </w:tcPr>
          <w:p w14:paraId="7FA16BE4" w14:textId="77777777" w:rsidR="00B32FEC" w:rsidRPr="00214621" w:rsidRDefault="00B32FEC" w:rsidP="00C52CA4">
            <w:pPr>
              <w:rPr>
                <w:rFonts w:eastAsia="Calibri"/>
                <w:szCs w:val="24"/>
              </w:rPr>
            </w:pPr>
            <w:r w:rsidRPr="00214621">
              <w:rPr>
                <w:rFonts w:eastAsia="Calibri"/>
                <w:szCs w:val="24"/>
              </w:rPr>
              <w:t>Stasis</w:t>
            </w:r>
          </w:p>
        </w:tc>
        <w:tc>
          <w:tcPr>
            <w:tcW w:w="540" w:type="dxa"/>
            <w:shd w:val="clear" w:color="auto" w:fill="auto"/>
            <w:vAlign w:val="center"/>
          </w:tcPr>
          <w:p w14:paraId="6EB4FE0A" w14:textId="77777777" w:rsidR="00B32FEC" w:rsidRPr="00214621" w:rsidRDefault="00B32FEC" w:rsidP="00C52CA4">
            <w:pPr>
              <w:rPr>
                <w:rFonts w:eastAsia="Calibri"/>
                <w:szCs w:val="24"/>
              </w:rPr>
            </w:pPr>
            <w:r w:rsidRPr="00214621">
              <w:rPr>
                <w:rFonts w:eastAsia="Calibri"/>
                <w:szCs w:val="24"/>
              </w:rPr>
              <w:t>2</w:t>
            </w:r>
          </w:p>
        </w:tc>
        <w:tc>
          <w:tcPr>
            <w:tcW w:w="2273" w:type="dxa"/>
            <w:shd w:val="clear" w:color="auto" w:fill="auto"/>
            <w:vAlign w:val="center"/>
          </w:tcPr>
          <w:p w14:paraId="3082BB59" w14:textId="77337965" w:rsidR="00B32FEC" w:rsidRPr="00214621" w:rsidRDefault="00B32FEC" w:rsidP="003624B1">
            <w:pPr>
              <w:rPr>
                <w:rFonts w:eastAsia="Calibri"/>
                <w:szCs w:val="24"/>
              </w:rPr>
            </w:pPr>
            <w:r w:rsidRPr="00214621">
              <w:rPr>
                <w:rFonts w:eastAsia="Calibri"/>
                <w:szCs w:val="24"/>
              </w:rPr>
              <w:t>-</w:t>
            </w:r>
            <w:r w:rsidR="003C7560">
              <w:rPr>
                <w:rFonts w:eastAsia="Calibri"/>
                <w:szCs w:val="24"/>
              </w:rPr>
              <w:t>8.35</w:t>
            </w:r>
            <w:r w:rsidRPr="00214621">
              <w:rPr>
                <w:rFonts w:eastAsia="Calibri"/>
                <w:szCs w:val="24"/>
              </w:rPr>
              <w:t xml:space="preserve"> </w:t>
            </w:r>
            <w:r w:rsidRPr="00214621">
              <w:rPr>
                <w:rFonts w:eastAsia="Calibri"/>
                <w:b/>
                <w:szCs w:val="24"/>
              </w:rPr>
              <w:t xml:space="preserve">± </w:t>
            </w:r>
            <w:r w:rsidR="003C7560">
              <w:rPr>
                <w:rFonts w:eastAsia="Calibri"/>
                <w:szCs w:val="24"/>
              </w:rPr>
              <w:t>1.01</w:t>
            </w:r>
          </w:p>
        </w:tc>
        <w:tc>
          <w:tcPr>
            <w:tcW w:w="2340" w:type="dxa"/>
            <w:shd w:val="clear" w:color="auto" w:fill="auto"/>
            <w:vAlign w:val="center"/>
          </w:tcPr>
          <w:p w14:paraId="225A0699" w14:textId="77777777" w:rsidR="00B32FEC" w:rsidRPr="00214621" w:rsidRDefault="00B32FEC" w:rsidP="00C52CA4">
            <w:pPr>
              <w:rPr>
                <w:rFonts w:eastAsia="Calibri"/>
                <w:szCs w:val="24"/>
              </w:rPr>
            </w:pPr>
            <w:r w:rsidRPr="00214621">
              <w:rPr>
                <w:rFonts w:eastAsia="Calibri"/>
                <w:szCs w:val="24"/>
              </w:rPr>
              <w:t>0.00 (0.00, 0.00)</w:t>
            </w:r>
          </w:p>
        </w:tc>
      </w:tr>
      <w:tr w:rsidR="00B32FEC" w:rsidRPr="00274329" w14:paraId="5285F115" w14:textId="77777777" w:rsidTr="00C52CA4">
        <w:trPr>
          <w:trHeight w:val="440"/>
        </w:trPr>
        <w:tc>
          <w:tcPr>
            <w:tcW w:w="1620" w:type="dxa"/>
            <w:shd w:val="clear" w:color="auto" w:fill="auto"/>
            <w:vAlign w:val="center"/>
          </w:tcPr>
          <w:p w14:paraId="2B36D649" w14:textId="77777777" w:rsidR="00B32FEC" w:rsidRPr="00214621" w:rsidRDefault="00B32FEC" w:rsidP="00C52CA4">
            <w:pPr>
              <w:rPr>
                <w:rFonts w:eastAsia="Calibri"/>
                <w:szCs w:val="24"/>
              </w:rPr>
            </w:pPr>
            <w:r w:rsidRPr="00214621">
              <w:rPr>
                <w:rFonts w:eastAsia="Calibri"/>
                <w:szCs w:val="24"/>
              </w:rPr>
              <w:t>Punctuated equilibrium</w:t>
            </w:r>
          </w:p>
        </w:tc>
        <w:tc>
          <w:tcPr>
            <w:tcW w:w="540" w:type="dxa"/>
            <w:shd w:val="clear" w:color="auto" w:fill="auto"/>
            <w:vAlign w:val="center"/>
          </w:tcPr>
          <w:p w14:paraId="71C77506" w14:textId="77777777" w:rsidR="00B32FEC" w:rsidRPr="00214621" w:rsidRDefault="00B32FEC" w:rsidP="00C52CA4">
            <w:pPr>
              <w:rPr>
                <w:rFonts w:eastAsia="Calibri"/>
                <w:szCs w:val="24"/>
              </w:rPr>
            </w:pPr>
            <w:r w:rsidRPr="00214621">
              <w:rPr>
                <w:rFonts w:eastAsia="Calibri"/>
                <w:szCs w:val="24"/>
              </w:rPr>
              <w:t>4</w:t>
            </w:r>
          </w:p>
        </w:tc>
        <w:tc>
          <w:tcPr>
            <w:tcW w:w="2273" w:type="dxa"/>
            <w:shd w:val="clear" w:color="auto" w:fill="auto"/>
            <w:vAlign w:val="center"/>
          </w:tcPr>
          <w:p w14:paraId="0BE16477" w14:textId="752FB65F" w:rsidR="00B32FEC" w:rsidRPr="00214621" w:rsidRDefault="00B32FEC" w:rsidP="003624B1">
            <w:pPr>
              <w:rPr>
                <w:rFonts w:eastAsia="Calibri"/>
                <w:szCs w:val="24"/>
              </w:rPr>
            </w:pPr>
            <w:r w:rsidRPr="00214621">
              <w:rPr>
                <w:rFonts w:eastAsia="Calibri"/>
                <w:szCs w:val="24"/>
              </w:rPr>
              <w:t>-</w:t>
            </w:r>
            <w:r w:rsidR="003C7560">
              <w:rPr>
                <w:rFonts w:eastAsia="Calibri"/>
                <w:szCs w:val="24"/>
              </w:rPr>
              <w:t>29.16</w:t>
            </w:r>
            <w:r w:rsidRPr="00214621">
              <w:rPr>
                <w:rFonts w:eastAsia="Calibri"/>
                <w:szCs w:val="24"/>
              </w:rPr>
              <w:t xml:space="preserve"> </w:t>
            </w:r>
            <w:r w:rsidRPr="00214621">
              <w:rPr>
                <w:rFonts w:eastAsia="Calibri"/>
                <w:b/>
                <w:szCs w:val="24"/>
              </w:rPr>
              <w:t xml:space="preserve">± </w:t>
            </w:r>
            <w:r w:rsidR="003C7560">
              <w:rPr>
                <w:rFonts w:eastAsia="Calibri"/>
                <w:szCs w:val="24"/>
              </w:rPr>
              <w:t>3.26</w:t>
            </w:r>
          </w:p>
        </w:tc>
        <w:tc>
          <w:tcPr>
            <w:tcW w:w="2340" w:type="dxa"/>
            <w:shd w:val="clear" w:color="auto" w:fill="auto"/>
            <w:vAlign w:val="center"/>
          </w:tcPr>
          <w:p w14:paraId="60D7D151" w14:textId="77777777" w:rsidR="00B32FEC" w:rsidRPr="00214621" w:rsidRDefault="00B32FEC" w:rsidP="00C52CA4">
            <w:pPr>
              <w:rPr>
                <w:rFonts w:eastAsia="Calibri"/>
                <w:szCs w:val="24"/>
              </w:rPr>
            </w:pPr>
            <w:r w:rsidRPr="00214621">
              <w:rPr>
                <w:rFonts w:eastAsia="Calibri"/>
                <w:szCs w:val="24"/>
              </w:rPr>
              <w:t>0.00 (0.00, 0.00)</w:t>
            </w:r>
          </w:p>
        </w:tc>
      </w:tr>
      <w:tr w:rsidR="00B32FEC" w:rsidRPr="00274329" w14:paraId="55F18E71" w14:textId="77777777" w:rsidTr="00C52CA4">
        <w:trPr>
          <w:trHeight w:val="523"/>
        </w:trPr>
        <w:tc>
          <w:tcPr>
            <w:tcW w:w="1620" w:type="dxa"/>
            <w:shd w:val="clear" w:color="auto" w:fill="auto"/>
            <w:vAlign w:val="center"/>
          </w:tcPr>
          <w:p w14:paraId="777E989A" w14:textId="77777777" w:rsidR="00B32FEC" w:rsidRPr="00214621" w:rsidRDefault="00B32FEC" w:rsidP="00C52CA4">
            <w:pPr>
              <w:rPr>
                <w:rFonts w:eastAsia="Calibri"/>
                <w:szCs w:val="24"/>
              </w:rPr>
            </w:pPr>
            <w:r w:rsidRPr="00214621">
              <w:rPr>
                <w:rFonts w:eastAsia="Calibri"/>
                <w:szCs w:val="24"/>
              </w:rPr>
              <w:t>Stasis-random walk</w:t>
            </w:r>
          </w:p>
        </w:tc>
        <w:tc>
          <w:tcPr>
            <w:tcW w:w="540" w:type="dxa"/>
            <w:shd w:val="clear" w:color="auto" w:fill="auto"/>
            <w:vAlign w:val="center"/>
          </w:tcPr>
          <w:p w14:paraId="4EB15450" w14:textId="77777777" w:rsidR="00B32FEC" w:rsidRPr="00214621" w:rsidRDefault="00B32FEC" w:rsidP="00C52CA4">
            <w:pPr>
              <w:rPr>
                <w:rFonts w:eastAsia="Calibri"/>
                <w:szCs w:val="24"/>
              </w:rPr>
            </w:pPr>
            <w:r w:rsidRPr="00214621">
              <w:rPr>
                <w:rFonts w:eastAsia="Calibri"/>
                <w:szCs w:val="24"/>
              </w:rPr>
              <w:t>4</w:t>
            </w:r>
          </w:p>
        </w:tc>
        <w:tc>
          <w:tcPr>
            <w:tcW w:w="2273" w:type="dxa"/>
            <w:shd w:val="clear" w:color="auto" w:fill="auto"/>
            <w:vAlign w:val="center"/>
          </w:tcPr>
          <w:p w14:paraId="03FC7162" w14:textId="6C49E996" w:rsidR="00B32FEC" w:rsidRPr="00214621" w:rsidRDefault="003C7560" w:rsidP="003624B1">
            <w:pPr>
              <w:rPr>
                <w:rFonts w:eastAsia="Calibri"/>
                <w:szCs w:val="24"/>
              </w:rPr>
            </w:pPr>
            <w:r>
              <w:rPr>
                <w:rFonts w:eastAsia="Calibri"/>
                <w:szCs w:val="24"/>
              </w:rPr>
              <w:t>-36.57</w:t>
            </w:r>
            <w:r w:rsidR="00B32FEC" w:rsidRPr="00214621">
              <w:rPr>
                <w:rFonts w:eastAsia="Calibri"/>
                <w:szCs w:val="24"/>
              </w:rPr>
              <w:t xml:space="preserve"> </w:t>
            </w:r>
            <w:r w:rsidR="00B32FEC" w:rsidRPr="00214621">
              <w:rPr>
                <w:rFonts w:eastAsia="Calibri"/>
                <w:b/>
                <w:szCs w:val="24"/>
              </w:rPr>
              <w:t xml:space="preserve">± </w:t>
            </w:r>
            <w:r>
              <w:rPr>
                <w:rFonts w:eastAsia="Calibri"/>
                <w:szCs w:val="24"/>
              </w:rPr>
              <w:t>5.20</w:t>
            </w:r>
          </w:p>
        </w:tc>
        <w:tc>
          <w:tcPr>
            <w:tcW w:w="2340" w:type="dxa"/>
            <w:shd w:val="clear" w:color="auto" w:fill="auto"/>
            <w:vAlign w:val="center"/>
          </w:tcPr>
          <w:p w14:paraId="06967ACC" w14:textId="77777777" w:rsidR="00B32FEC" w:rsidRPr="00214621" w:rsidRDefault="00B32FEC" w:rsidP="00C52CA4">
            <w:pPr>
              <w:rPr>
                <w:rFonts w:eastAsia="Calibri"/>
                <w:szCs w:val="24"/>
              </w:rPr>
            </w:pPr>
            <w:r w:rsidRPr="00214621">
              <w:rPr>
                <w:rFonts w:eastAsia="Calibri"/>
                <w:szCs w:val="24"/>
              </w:rPr>
              <w:t>0.00 (0.00, 0.0</w:t>
            </w:r>
            <w:r>
              <w:rPr>
                <w:rFonts w:eastAsia="Calibri"/>
                <w:szCs w:val="24"/>
              </w:rPr>
              <w:t>1</w:t>
            </w:r>
            <w:r w:rsidRPr="00214621">
              <w:rPr>
                <w:rFonts w:eastAsia="Calibri"/>
                <w:szCs w:val="24"/>
              </w:rPr>
              <w:t>)</w:t>
            </w:r>
          </w:p>
        </w:tc>
      </w:tr>
      <w:tr w:rsidR="00B32FEC" w:rsidRPr="00274329" w14:paraId="768F9048" w14:textId="77777777" w:rsidTr="00C52CA4">
        <w:trPr>
          <w:trHeight w:val="537"/>
        </w:trPr>
        <w:tc>
          <w:tcPr>
            <w:tcW w:w="1620" w:type="dxa"/>
            <w:tcBorders>
              <w:bottom w:val="double" w:sz="4" w:space="0" w:color="auto"/>
            </w:tcBorders>
            <w:shd w:val="clear" w:color="auto" w:fill="auto"/>
            <w:vAlign w:val="center"/>
          </w:tcPr>
          <w:p w14:paraId="2EF276F1" w14:textId="77777777" w:rsidR="00B32FEC" w:rsidRPr="00214621" w:rsidRDefault="00B32FEC" w:rsidP="00C52CA4">
            <w:pPr>
              <w:rPr>
                <w:rFonts w:eastAsia="Calibri"/>
                <w:szCs w:val="24"/>
              </w:rPr>
            </w:pPr>
            <w:r w:rsidRPr="00214621">
              <w:rPr>
                <w:rFonts w:eastAsia="Calibri"/>
                <w:szCs w:val="24"/>
              </w:rPr>
              <w:t>Stasis-gradualism</w:t>
            </w:r>
          </w:p>
        </w:tc>
        <w:tc>
          <w:tcPr>
            <w:tcW w:w="540" w:type="dxa"/>
            <w:tcBorders>
              <w:bottom w:val="double" w:sz="4" w:space="0" w:color="auto"/>
            </w:tcBorders>
            <w:shd w:val="clear" w:color="auto" w:fill="auto"/>
            <w:vAlign w:val="center"/>
          </w:tcPr>
          <w:p w14:paraId="26C9D8FD" w14:textId="77777777" w:rsidR="00B32FEC" w:rsidRPr="00214621" w:rsidRDefault="00B32FEC" w:rsidP="00C52CA4">
            <w:pPr>
              <w:rPr>
                <w:rFonts w:eastAsia="Calibri"/>
                <w:szCs w:val="24"/>
              </w:rPr>
            </w:pPr>
            <w:r w:rsidRPr="00214621">
              <w:rPr>
                <w:rFonts w:eastAsia="Calibri"/>
                <w:szCs w:val="24"/>
              </w:rPr>
              <w:t>5</w:t>
            </w:r>
          </w:p>
        </w:tc>
        <w:tc>
          <w:tcPr>
            <w:tcW w:w="2273" w:type="dxa"/>
            <w:tcBorders>
              <w:bottom w:val="double" w:sz="4" w:space="0" w:color="auto"/>
            </w:tcBorders>
            <w:shd w:val="clear" w:color="auto" w:fill="auto"/>
            <w:vAlign w:val="center"/>
          </w:tcPr>
          <w:p w14:paraId="289628CB" w14:textId="37F4D1F5" w:rsidR="00B32FEC" w:rsidRPr="00214621" w:rsidRDefault="00B32FEC" w:rsidP="003624B1">
            <w:pPr>
              <w:rPr>
                <w:rFonts w:eastAsia="Calibri"/>
                <w:szCs w:val="24"/>
              </w:rPr>
            </w:pPr>
            <w:r w:rsidRPr="00214621">
              <w:rPr>
                <w:rFonts w:eastAsia="Calibri"/>
                <w:szCs w:val="24"/>
              </w:rPr>
              <w:t>-</w:t>
            </w:r>
            <w:r w:rsidR="003C7560">
              <w:rPr>
                <w:rFonts w:eastAsia="Calibri"/>
                <w:szCs w:val="24"/>
              </w:rPr>
              <w:t>40.34</w:t>
            </w:r>
            <w:r w:rsidRPr="00214621">
              <w:rPr>
                <w:rFonts w:eastAsia="Calibri"/>
                <w:szCs w:val="24"/>
              </w:rPr>
              <w:t xml:space="preserve"> </w:t>
            </w:r>
            <w:r w:rsidRPr="00214621">
              <w:rPr>
                <w:rFonts w:eastAsia="Calibri"/>
                <w:b/>
                <w:szCs w:val="24"/>
              </w:rPr>
              <w:t xml:space="preserve">± </w:t>
            </w:r>
            <w:r w:rsidRPr="00214621">
              <w:rPr>
                <w:rFonts w:eastAsia="Calibri"/>
                <w:szCs w:val="24"/>
              </w:rPr>
              <w:t>6.</w:t>
            </w:r>
            <w:r w:rsidR="003C7560">
              <w:rPr>
                <w:rFonts w:eastAsia="Calibri"/>
                <w:szCs w:val="24"/>
              </w:rPr>
              <w:t>98</w:t>
            </w:r>
          </w:p>
        </w:tc>
        <w:tc>
          <w:tcPr>
            <w:tcW w:w="2340" w:type="dxa"/>
            <w:tcBorders>
              <w:bottom w:val="double" w:sz="4" w:space="0" w:color="auto"/>
            </w:tcBorders>
            <w:shd w:val="clear" w:color="auto" w:fill="auto"/>
            <w:vAlign w:val="center"/>
          </w:tcPr>
          <w:p w14:paraId="23A7C725" w14:textId="1D565C78" w:rsidR="00B32FEC" w:rsidRPr="00214621" w:rsidRDefault="00B32FEC" w:rsidP="00C52CA4">
            <w:pPr>
              <w:rPr>
                <w:rFonts w:eastAsia="Calibri"/>
                <w:szCs w:val="24"/>
              </w:rPr>
            </w:pPr>
            <w:r w:rsidRPr="00214621">
              <w:rPr>
                <w:rFonts w:eastAsia="Calibri"/>
                <w:szCs w:val="24"/>
              </w:rPr>
              <w:t>0.0</w:t>
            </w:r>
            <w:r w:rsidR="008217E9">
              <w:rPr>
                <w:rFonts w:eastAsia="Calibri"/>
                <w:szCs w:val="24"/>
              </w:rPr>
              <w:t>1</w:t>
            </w:r>
            <w:r w:rsidRPr="00214621">
              <w:rPr>
                <w:rFonts w:eastAsia="Calibri"/>
                <w:szCs w:val="24"/>
              </w:rPr>
              <w:t xml:space="preserve"> (0.00, 0.0</w:t>
            </w:r>
            <w:r w:rsidR="008217E9">
              <w:rPr>
                <w:rFonts w:eastAsia="Calibri"/>
                <w:szCs w:val="24"/>
              </w:rPr>
              <w:t>5</w:t>
            </w:r>
            <w:r w:rsidRPr="00214621">
              <w:rPr>
                <w:rFonts w:eastAsia="Calibri"/>
                <w:szCs w:val="24"/>
              </w:rPr>
              <w:t>)</w:t>
            </w:r>
          </w:p>
        </w:tc>
      </w:tr>
    </w:tbl>
    <w:p w14:paraId="7C9F230C" w14:textId="77777777" w:rsidR="00B32FEC" w:rsidRDefault="00B32FEC" w:rsidP="00B32FEC">
      <w:pPr>
        <w:pStyle w:val="SMHeading"/>
        <w:spacing w:line="360" w:lineRule="auto"/>
      </w:pPr>
    </w:p>
    <w:p w14:paraId="49A8942A" w14:textId="77777777" w:rsidR="00B32FEC" w:rsidRPr="00CB5243" w:rsidRDefault="00B32FEC" w:rsidP="005B51B1">
      <w:pPr>
        <w:pStyle w:val="SMHeading"/>
        <w:spacing w:line="360" w:lineRule="auto"/>
      </w:pPr>
    </w:p>
    <w:p w14:paraId="126DBB37" w14:textId="77777777" w:rsidR="005B51B1" w:rsidRPr="00355362" w:rsidRDefault="005B51B1" w:rsidP="005B51B1">
      <w:pPr>
        <w:pStyle w:val="SMHeading"/>
        <w:spacing w:line="360" w:lineRule="auto"/>
      </w:pPr>
      <w:r>
        <w:br w:type="page"/>
      </w:r>
      <w:r>
        <w:lastRenderedPageBreak/>
        <w:t>Additional Data table</w:t>
      </w:r>
      <w:r w:rsidRPr="00355362">
        <w:t xml:space="preserve"> S1 </w:t>
      </w:r>
      <w:r>
        <w:t>(separate file)</w:t>
      </w:r>
    </w:p>
    <w:p w14:paraId="16B3DC90" w14:textId="02E993A6" w:rsidR="005B51B1" w:rsidRDefault="005B51B1" w:rsidP="005B51B1">
      <w:pPr>
        <w:pStyle w:val="SMcaption"/>
      </w:pPr>
      <w:r>
        <w:t xml:space="preserve">Excel spreadsheet with the raw data used for all analyses. Each row is a separate specimen along with its ID. Columns include the “lumper’s” and </w:t>
      </w:r>
      <w:bookmarkStart w:id="2" w:name="_GoBack"/>
      <w:bookmarkEnd w:id="2"/>
      <w:r>
        <w:t>“splitter’s” taxonomy used in the random effects ANOVA to get inter-observer error (“lump.taxon” and “split.taxon”), the less and more speciose lineages used in the lower-taxonomic additive partitioning analyses (“lump.part” and “split.part”), region where each specimen comes from which aided in the allocation of specimens to lineages (“region”), grade for coding p</w:t>
      </w:r>
      <w:r w:rsidR="00586DC8">
        <w:t>oints in fig. 2</w:t>
      </w:r>
      <w:r>
        <w:t xml:space="preserve"> (“grade”), </w:t>
      </w:r>
      <w:r w:rsidR="00523865">
        <w:t xml:space="preserve">which specimens were excluded for the damaged specimens sensitivity analysis (“reliab.sens”), </w:t>
      </w:r>
      <w:r>
        <w:t xml:space="preserve">ECV replicate measurements from different researchers (“ecv1” to “ecv6”), and the various dates for each specimen (“min.date”, “max.date”, “mean.date”, and “sd.date”) and their respective age error distribution (“date.dist”). </w:t>
      </w:r>
    </w:p>
    <w:p w14:paraId="0D2140E7" w14:textId="77777777" w:rsidR="005B51B1" w:rsidRDefault="005B51B1" w:rsidP="005B51B1">
      <w:pPr>
        <w:pStyle w:val="SMcaption"/>
      </w:pPr>
    </w:p>
    <w:p w14:paraId="4FC3A76C" w14:textId="77777777" w:rsidR="005B51B1" w:rsidRPr="00151A04" w:rsidRDefault="005B51B1" w:rsidP="005B51B1">
      <w:pPr>
        <w:pStyle w:val="SMcaption"/>
      </w:pPr>
      <w:r>
        <w:br w:type="page"/>
      </w:r>
      <w:r w:rsidRPr="00F25770">
        <w:rPr>
          <w:b/>
        </w:rPr>
        <w:lastRenderedPageBreak/>
        <w:t>References</w:t>
      </w:r>
    </w:p>
    <w:p w14:paraId="56B2CC89" w14:textId="77777777" w:rsidR="00006B9A" w:rsidRPr="00006B9A" w:rsidRDefault="005B51B1" w:rsidP="00006B9A">
      <w:pPr>
        <w:pStyle w:val="Bibliography"/>
      </w:pPr>
      <w:r>
        <w:rPr>
          <w:b/>
        </w:rPr>
        <w:fldChar w:fldCharType="begin"/>
      </w:r>
      <w:r w:rsidR="00006B9A">
        <w:rPr>
          <w:b/>
        </w:rPr>
        <w:instrText xml:space="preserve"> ADDIN ZOTERO_BIBL {"custom":[]} CSL_BIBLIOGRAPHY </w:instrText>
      </w:r>
      <w:r>
        <w:rPr>
          <w:b/>
        </w:rPr>
        <w:fldChar w:fldCharType="separate"/>
      </w:r>
      <w:r w:rsidR="00006B9A" w:rsidRPr="00006B9A">
        <w:t>1.</w:t>
      </w:r>
      <w:r w:rsidR="00006B9A" w:rsidRPr="00006B9A">
        <w:tab/>
        <w:t xml:space="preserve">Tobias PV. 1971 </w:t>
      </w:r>
      <w:r w:rsidR="00006B9A" w:rsidRPr="00006B9A">
        <w:rPr>
          <w:i/>
          <w:iCs/>
        </w:rPr>
        <w:t>The Brain in Hominid Evolution</w:t>
      </w:r>
      <w:r w:rsidR="00006B9A" w:rsidRPr="00006B9A">
        <w:t xml:space="preserve">. New York: Columbia University Press. </w:t>
      </w:r>
    </w:p>
    <w:p w14:paraId="245D8B3F" w14:textId="77777777" w:rsidR="00006B9A" w:rsidRPr="00006B9A" w:rsidRDefault="00006B9A" w:rsidP="00006B9A">
      <w:pPr>
        <w:pStyle w:val="Bibliography"/>
      </w:pPr>
      <w:r w:rsidRPr="00006B9A">
        <w:t>2.</w:t>
      </w:r>
      <w:r w:rsidRPr="00006B9A">
        <w:tab/>
        <w:t xml:space="preserve">Holloway RL, Broadfield DC, Yuan MS. 2004 </w:t>
      </w:r>
      <w:r w:rsidRPr="00006B9A">
        <w:rPr>
          <w:i/>
          <w:iCs/>
        </w:rPr>
        <w:t>The Human Fossil Record, Brain Endocasts: The Paleoneurological Evidence, Volume 3</w:t>
      </w:r>
      <w:r w:rsidRPr="00006B9A">
        <w:t xml:space="preserve">. Volume 3. New York: Wiley-Liss. </w:t>
      </w:r>
    </w:p>
    <w:p w14:paraId="33B3C3CF" w14:textId="77777777" w:rsidR="00006B9A" w:rsidRPr="00006B9A" w:rsidRDefault="00006B9A" w:rsidP="00006B9A">
      <w:pPr>
        <w:pStyle w:val="Bibliography"/>
      </w:pPr>
      <w:r w:rsidRPr="00006B9A">
        <w:t>3.</w:t>
      </w:r>
      <w:r w:rsidRPr="00006B9A">
        <w:tab/>
        <w:t xml:space="preserve">Hunt G. 2006 Fitting and comparing models of phyletic evolution: random walks and beyond. </w:t>
      </w:r>
      <w:r w:rsidRPr="00006B9A">
        <w:rPr>
          <w:i/>
          <w:iCs/>
        </w:rPr>
        <w:t>Paleobiology</w:t>
      </w:r>
      <w:r w:rsidRPr="00006B9A">
        <w:t xml:space="preserve"> </w:t>
      </w:r>
      <w:r w:rsidRPr="00006B9A">
        <w:rPr>
          <w:b/>
          <w:bCs/>
        </w:rPr>
        <w:t>32</w:t>
      </w:r>
      <w:r w:rsidRPr="00006B9A">
        <w:t xml:space="preserve">, 578–601. </w:t>
      </w:r>
    </w:p>
    <w:p w14:paraId="126BA076" w14:textId="77777777" w:rsidR="00006B9A" w:rsidRPr="00006B9A" w:rsidRDefault="00006B9A" w:rsidP="00006B9A">
      <w:pPr>
        <w:pStyle w:val="Bibliography"/>
      </w:pPr>
      <w:r w:rsidRPr="00006B9A">
        <w:t>4.</w:t>
      </w:r>
      <w:r w:rsidRPr="00006B9A">
        <w:tab/>
        <w:t xml:space="preserve">Hunt G. 2008 Gradual or pulsed evolution: When should punctuational explanations be preferred? </w:t>
      </w:r>
      <w:r w:rsidRPr="00006B9A">
        <w:rPr>
          <w:i/>
          <w:iCs/>
        </w:rPr>
        <w:t>Paleobiology</w:t>
      </w:r>
      <w:r w:rsidRPr="00006B9A">
        <w:t xml:space="preserve"> </w:t>
      </w:r>
      <w:r w:rsidRPr="00006B9A">
        <w:rPr>
          <w:b/>
          <w:bCs/>
        </w:rPr>
        <w:t>34</w:t>
      </w:r>
      <w:r w:rsidRPr="00006B9A">
        <w:t xml:space="preserve">, 360–377. </w:t>
      </w:r>
    </w:p>
    <w:p w14:paraId="45F7948D" w14:textId="77777777" w:rsidR="00006B9A" w:rsidRPr="00006B9A" w:rsidRDefault="00006B9A" w:rsidP="00006B9A">
      <w:pPr>
        <w:pStyle w:val="Bibliography"/>
      </w:pPr>
      <w:r w:rsidRPr="00006B9A">
        <w:t>5.</w:t>
      </w:r>
      <w:r w:rsidRPr="00006B9A">
        <w:tab/>
        <w:t xml:space="preserve">Hunt G, Hopkins MJ, Lidgard S. 2015 Simple versus complex models of trait evolution and stasis as a response to environmental change. </w:t>
      </w:r>
      <w:r w:rsidRPr="00006B9A">
        <w:rPr>
          <w:i/>
          <w:iCs/>
        </w:rPr>
        <w:t>Proc. Natl. Acad. Sci.</w:t>
      </w:r>
      <w:r w:rsidRPr="00006B9A">
        <w:t xml:space="preserve"> </w:t>
      </w:r>
      <w:r w:rsidRPr="00006B9A">
        <w:rPr>
          <w:b/>
          <w:bCs/>
        </w:rPr>
        <w:t>112</w:t>
      </w:r>
      <w:r w:rsidRPr="00006B9A">
        <w:t>, 4885–4890. (doi:10.1073/pnas.1403662111)</w:t>
      </w:r>
    </w:p>
    <w:p w14:paraId="460ABC37" w14:textId="77777777" w:rsidR="00006B9A" w:rsidRPr="00006B9A" w:rsidRDefault="00006B9A" w:rsidP="00006B9A">
      <w:pPr>
        <w:pStyle w:val="Bibliography"/>
      </w:pPr>
      <w:r w:rsidRPr="00006B9A">
        <w:t>6.</w:t>
      </w:r>
      <w:r w:rsidRPr="00006B9A">
        <w:tab/>
        <w:t xml:space="preserve">Eldredge N, Gould SJ. 1972 Punctuated equilibria: an alternative to phyletic gradualism. In </w:t>
      </w:r>
      <w:r w:rsidRPr="00006B9A">
        <w:rPr>
          <w:i/>
          <w:iCs/>
        </w:rPr>
        <w:t>Models in Paleobiology</w:t>
      </w:r>
      <w:r w:rsidRPr="00006B9A">
        <w:t xml:space="preserve"> (ed TJM Schopf), pp. 82–115. San Francisco: Freeman, Cooper and Company. </w:t>
      </w:r>
    </w:p>
    <w:p w14:paraId="24E35F67" w14:textId="77777777" w:rsidR="00006B9A" w:rsidRPr="00006B9A" w:rsidRDefault="00006B9A" w:rsidP="00006B9A">
      <w:pPr>
        <w:pStyle w:val="Bibliography"/>
      </w:pPr>
      <w:r w:rsidRPr="00006B9A">
        <w:t>7.</w:t>
      </w:r>
      <w:r w:rsidRPr="00006B9A">
        <w:tab/>
        <w:t xml:space="preserve">Hunt G, Rabosky DL. 2014 Phenotypic Evolution in Fossil Species: Pattern and Process. </w:t>
      </w:r>
      <w:r w:rsidRPr="00006B9A">
        <w:rPr>
          <w:i/>
          <w:iCs/>
        </w:rPr>
        <w:t>Annu. Rev. Earth Planet. Sci.</w:t>
      </w:r>
      <w:r w:rsidRPr="00006B9A">
        <w:t xml:space="preserve"> </w:t>
      </w:r>
      <w:r w:rsidRPr="00006B9A">
        <w:rPr>
          <w:b/>
          <w:bCs/>
        </w:rPr>
        <w:t>42</w:t>
      </w:r>
      <w:r w:rsidRPr="00006B9A">
        <w:t>, 421–441. (doi:10.1146/annurev-earth-040809-152524)</w:t>
      </w:r>
    </w:p>
    <w:p w14:paraId="41CFA897" w14:textId="77777777" w:rsidR="00006B9A" w:rsidRPr="00006B9A" w:rsidRDefault="00006B9A" w:rsidP="00006B9A">
      <w:pPr>
        <w:pStyle w:val="Bibliography"/>
      </w:pPr>
      <w:r w:rsidRPr="00006B9A">
        <w:t>8.</w:t>
      </w:r>
      <w:r w:rsidRPr="00006B9A">
        <w:tab/>
        <w:t xml:space="preserve">Jablonski D. 2007 Scale and hierarchy in macroevolution. </w:t>
      </w:r>
      <w:r w:rsidRPr="00006B9A">
        <w:rPr>
          <w:i/>
          <w:iCs/>
        </w:rPr>
        <w:t>Palaeontology</w:t>
      </w:r>
      <w:r w:rsidRPr="00006B9A">
        <w:t xml:space="preserve"> </w:t>
      </w:r>
      <w:r w:rsidRPr="00006B9A">
        <w:rPr>
          <w:b/>
          <w:bCs/>
        </w:rPr>
        <w:t>50</w:t>
      </w:r>
      <w:r w:rsidRPr="00006B9A">
        <w:t>, 87–109. (doi:10.1111/j.1475-4983.2006.00615.x)</w:t>
      </w:r>
    </w:p>
    <w:p w14:paraId="56838F35" w14:textId="77777777" w:rsidR="00006B9A" w:rsidRPr="00006B9A" w:rsidRDefault="00006B9A" w:rsidP="00006B9A">
      <w:pPr>
        <w:pStyle w:val="Bibliography"/>
      </w:pPr>
      <w:r w:rsidRPr="00006B9A">
        <w:t>9.</w:t>
      </w:r>
      <w:r w:rsidRPr="00006B9A">
        <w:tab/>
        <w:t xml:space="preserve">R Core Team. 2015 </w:t>
      </w:r>
      <w:r w:rsidRPr="00006B9A">
        <w:rPr>
          <w:i/>
          <w:iCs/>
        </w:rPr>
        <w:t>R: A Language and Environment for Statistical Computing.</w:t>
      </w:r>
      <w:r w:rsidRPr="00006B9A">
        <w:t xml:space="preserve"> Vienna, Austria: R Foundation for Statistical Computing. See http://www.R-project.org/.</w:t>
      </w:r>
    </w:p>
    <w:p w14:paraId="1019C2BE" w14:textId="77777777" w:rsidR="00006B9A" w:rsidRPr="00006B9A" w:rsidRDefault="00006B9A" w:rsidP="00006B9A">
      <w:pPr>
        <w:pStyle w:val="Bibliography"/>
      </w:pPr>
      <w:r w:rsidRPr="00006B9A">
        <w:t>10.</w:t>
      </w:r>
      <w:r w:rsidRPr="00006B9A">
        <w:tab/>
        <w:t xml:space="preserve">Hunt G. 2015 </w:t>
      </w:r>
      <w:r w:rsidRPr="00006B9A">
        <w:rPr>
          <w:i/>
          <w:iCs/>
        </w:rPr>
        <w:t>paleoTS: Analyze Paleontological Time-Series. R package version 0.5-1.</w:t>
      </w:r>
      <w:r w:rsidRPr="00006B9A">
        <w:t xml:space="preserve"> See cran.r-project.org/web/packages/paleoTS/.</w:t>
      </w:r>
    </w:p>
    <w:p w14:paraId="4750A85F" w14:textId="77777777" w:rsidR="00006B9A" w:rsidRPr="00006B9A" w:rsidRDefault="00006B9A" w:rsidP="00006B9A">
      <w:pPr>
        <w:pStyle w:val="Bibliography"/>
      </w:pPr>
      <w:r w:rsidRPr="00006B9A">
        <w:t>11.</w:t>
      </w:r>
      <w:r w:rsidRPr="00006B9A">
        <w:tab/>
        <w:t xml:space="preserve">Sheets HD, Mitchell CE. 2001 Why the null matters: statistical tests, random walks and evolution. </w:t>
      </w:r>
      <w:r w:rsidRPr="00006B9A">
        <w:rPr>
          <w:i/>
          <w:iCs/>
        </w:rPr>
        <w:t>Genetica</w:t>
      </w:r>
      <w:r w:rsidRPr="00006B9A">
        <w:t xml:space="preserve"> </w:t>
      </w:r>
      <w:r w:rsidRPr="00006B9A">
        <w:rPr>
          <w:b/>
          <w:bCs/>
        </w:rPr>
        <w:t>112</w:t>
      </w:r>
      <w:r w:rsidRPr="00006B9A">
        <w:t>–</w:t>
      </w:r>
      <w:r w:rsidRPr="00006B9A">
        <w:rPr>
          <w:b/>
          <w:bCs/>
        </w:rPr>
        <w:t>113</w:t>
      </w:r>
      <w:r w:rsidRPr="00006B9A">
        <w:t xml:space="preserve">, 105–125. </w:t>
      </w:r>
    </w:p>
    <w:p w14:paraId="7C582AEF" w14:textId="77777777" w:rsidR="00006B9A" w:rsidRPr="00006B9A" w:rsidRDefault="00006B9A" w:rsidP="00006B9A">
      <w:pPr>
        <w:pStyle w:val="Bibliography"/>
      </w:pPr>
      <w:r w:rsidRPr="00006B9A">
        <w:t>12.</w:t>
      </w:r>
      <w:r w:rsidRPr="00006B9A">
        <w:tab/>
        <w:t xml:space="preserve">Hunt G. 2008 Evolutionary patterns within fossil lineages: Model-based assessment of modes, rates, punctuations and process. In </w:t>
      </w:r>
      <w:r w:rsidRPr="00006B9A">
        <w:rPr>
          <w:i/>
          <w:iCs/>
        </w:rPr>
        <w:t>From Evolution to Geobiology: Research Questions Driving Paleontology at the Start of a New Century. Paleontological Society Papers</w:t>
      </w:r>
      <w:r w:rsidRPr="00006B9A">
        <w:t xml:space="preserve"> (eds PH Kelley, RK Bambach), pp. 117–131. Pittsburgh: Paleontological Society. </w:t>
      </w:r>
    </w:p>
    <w:p w14:paraId="5D741EA4" w14:textId="77777777" w:rsidR="00006B9A" w:rsidRPr="00006B9A" w:rsidRDefault="00006B9A" w:rsidP="00006B9A">
      <w:pPr>
        <w:pStyle w:val="Bibliography"/>
      </w:pPr>
      <w:r w:rsidRPr="00006B9A">
        <w:t>13.</w:t>
      </w:r>
      <w:r w:rsidRPr="00006B9A">
        <w:tab/>
        <w:t xml:space="preserve">Burnham KP, Anderson DR. 2002 </w:t>
      </w:r>
      <w:r w:rsidRPr="00006B9A">
        <w:rPr>
          <w:i/>
          <w:iCs/>
        </w:rPr>
        <w:t>Model selection and multimodel inference: a practical information-theoretic approach</w:t>
      </w:r>
      <w:r w:rsidRPr="00006B9A">
        <w:t xml:space="preserve">. 2nd ed. New York: Springer. </w:t>
      </w:r>
    </w:p>
    <w:p w14:paraId="4AC85152" w14:textId="77777777" w:rsidR="00006B9A" w:rsidRPr="00006B9A" w:rsidRDefault="00006B9A" w:rsidP="00006B9A">
      <w:pPr>
        <w:pStyle w:val="Bibliography"/>
      </w:pPr>
      <w:r w:rsidRPr="00006B9A">
        <w:t>14.</w:t>
      </w:r>
      <w:r w:rsidRPr="00006B9A">
        <w:tab/>
        <w:t xml:space="preserve">Pinheiro J, Bates D, DebRoy S, Sarkar D, R Core Team. In press. </w:t>
      </w:r>
      <w:r w:rsidRPr="00006B9A">
        <w:rPr>
          <w:i/>
          <w:iCs/>
        </w:rPr>
        <w:t>nlme: Linear and Nonlinear Mixed Effects Models. R package version 3.1-120</w:t>
      </w:r>
      <w:r w:rsidRPr="00006B9A">
        <w:t>. See http://CRAN.R-project.org/package=nlme.</w:t>
      </w:r>
    </w:p>
    <w:p w14:paraId="01E4852B" w14:textId="77777777" w:rsidR="00006B9A" w:rsidRPr="00006B9A" w:rsidRDefault="00006B9A" w:rsidP="00006B9A">
      <w:pPr>
        <w:pStyle w:val="Bibliography"/>
      </w:pPr>
      <w:r w:rsidRPr="00006B9A">
        <w:lastRenderedPageBreak/>
        <w:t>15.</w:t>
      </w:r>
      <w:r w:rsidRPr="00006B9A">
        <w:tab/>
        <w:t xml:space="preserve">Paradis E, Claude J, Strimmer K. 2004 APE: analyses of phylogenetics and evolution in R language. </w:t>
      </w:r>
      <w:r w:rsidRPr="00006B9A">
        <w:rPr>
          <w:i/>
          <w:iCs/>
        </w:rPr>
        <w:t>Bioinformatics</w:t>
      </w:r>
      <w:r w:rsidRPr="00006B9A">
        <w:t xml:space="preserve"> </w:t>
      </w:r>
      <w:r w:rsidRPr="00006B9A">
        <w:rPr>
          <w:b/>
          <w:bCs/>
        </w:rPr>
        <w:t>20</w:t>
      </w:r>
      <w:r w:rsidRPr="00006B9A">
        <w:t xml:space="preserve">, 289–290. </w:t>
      </w:r>
    </w:p>
    <w:p w14:paraId="36D575F3" w14:textId="77777777" w:rsidR="00006B9A" w:rsidRPr="00006B9A" w:rsidRDefault="00006B9A" w:rsidP="00006B9A">
      <w:pPr>
        <w:pStyle w:val="Bibliography"/>
      </w:pPr>
      <w:r w:rsidRPr="00006B9A">
        <w:t>16.</w:t>
      </w:r>
      <w:r w:rsidRPr="00006B9A">
        <w:tab/>
        <w:t xml:space="preserve">White TD. 2009 Human Origins and Evolution: Cold Spring Harbor, Deja Vu. </w:t>
      </w:r>
      <w:r w:rsidRPr="00006B9A">
        <w:rPr>
          <w:i/>
          <w:iCs/>
        </w:rPr>
        <w:t>Cold Spring Harb. Symp. Quant. Biol.</w:t>
      </w:r>
      <w:r w:rsidRPr="00006B9A">
        <w:t xml:space="preserve"> </w:t>
      </w:r>
      <w:r w:rsidRPr="00006B9A">
        <w:rPr>
          <w:b/>
          <w:bCs/>
        </w:rPr>
        <w:t>74</w:t>
      </w:r>
      <w:r w:rsidRPr="00006B9A">
        <w:t>, 335–344. (doi:10.1101/sqb.2009.74.016)</w:t>
      </w:r>
    </w:p>
    <w:p w14:paraId="361AAF04" w14:textId="77777777" w:rsidR="00006B9A" w:rsidRPr="00006B9A" w:rsidRDefault="00006B9A" w:rsidP="00006B9A">
      <w:pPr>
        <w:pStyle w:val="Bibliography"/>
      </w:pPr>
      <w:r w:rsidRPr="00006B9A">
        <w:t>17.</w:t>
      </w:r>
      <w:r w:rsidRPr="00006B9A">
        <w:tab/>
        <w:t xml:space="preserve">Howell FC. 1999 Paleo-Demes, Species Clades, and Extinctions in the Pleistocene Hominin Record. </w:t>
      </w:r>
      <w:r w:rsidRPr="00006B9A">
        <w:rPr>
          <w:i/>
          <w:iCs/>
        </w:rPr>
        <w:t>J. Anthropol. Res.</w:t>
      </w:r>
      <w:r w:rsidRPr="00006B9A">
        <w:t xml:space="preserve"> </w:t>
      </w:r>
      <w:r w:rsidRPr="00006B9A">
        <w:rPr>
          <w:b/>
          <w:bCs/>
        </w:rPr>
        <w:t>55</w:t>
      </w:r>
      <w:r w:rsidRPr="00006B9A">
        <w:t xml:space="preserve">, 191–243. </w:t>
      </w:r>
    </w:p>
    <w:p w14:paraId="38B8FEBA" w14:textId="77777777" w:rsidR="00006B9A" w:rsidRPr="00006B9A" w:rsidRDefault="00006B9A" w:rsidP="00006B9A">
      <w:pPr>
        <w:pStyle w:val="Bibliography"/>
      </w:pPr>
      <w:r w:rsidRPr="00006B9A">
        <w:t>18.</w:t>
      </w:r>
      <w:r w:rsidRPr="00006B9A">
        <w:tab/>
        <w:t xml:space="preserve">Wood B, Grabowski M. 2015 Macroevolution in and Around the Hominin Clade. In </w:t>
      </w:r>
      <w:r w:rsidRPr="00006B9A">
        <w:rPr>
          <w:i/>
          <w:iCs/>
        </w:rPr>
        <w:t>Macroevolution</w:t>
      </w:r>
      <w:r w:rsidRPr="00006B9A">
        <w:t xml:space="preserve"> (eds E Serrelli, N Gontier), pp. 345–376. Springer International Publishing. (doi:10.1007/978-3-319-15045-1_11)</w:t>
      </w:r>
    </w:p>
    <w:p w14:paraId="2C10E9FB" w14:textId="77777777" w:rsidR="00006B9A" w:rsidRPr="00006B9A" w:rsidRDefault="00006B9A" w:rsidP="00006B9A">
      <w:pPr>
        <w:pStyle w:val="Bibliography"/>
      </w:pPr>
      <w:r w:rsidRPr="00006B9A">
        <w:t>19.</w:t>
      </w:r>
      <w:r w:rsidRPr="00006B9A">
        <w:tab/>
        <w:t xml:space="preserve">Rego BL, Wang SC, Altiner D, Payne JL. 2012 Within- and among-genus components of size evolution during mass extinction, recovery, and background intervals: a case study of Late Permian through Late Triassic foraminifera. </w:t>
      </w:r>
      <w:r w:rsidRPr="00006B9A">
        <w:rPr>
          <w:i/>
          <w:iCs/>
        </w:rPr>
        <w:t>Paleobiology</w:t>
      </w:r>
      <w:r w:rsidRPr="00006B9A">
        <w:t xml:space="preserve"> </w:t>
      </w:r>
      <w:r w:rsidRPr="00006B9A">
        <w:rPr>
          <w:b/>
          <w:bCs/>
        </w:rPr>
        <w:t>38</w:t>
      </w:r>
      <w:r w:rsidRPr="00006B9A">
        <w:t>, 627–643. (doi:10.1666/11040.1)</w:t>
      </w:r>
    </w:p>
    <w:p w14:paraId="1FED15CE" w14:textId="77777777" w:rsidR="00006B9A" w:rsidRPr="00006B9A" w:rsidRDefault="00006B9A" w:rsidP="00006B9A">
      <w:pPr>
        <w:pStyle w:val="Bibliography"/>
      </w:pPr>
      <w:r w:rsidRPr="00006B9A">
        <w:t>20.</w:t>
      </w:r>
      <w:r w:rsidRPr="00006B9A">
        <w:tab/>
        <w:t xml:space="preserve">Simpson C. 2013 Species selection and the macroevolution of coral coloniality and photosymbiosis. </w:t>
      </w:r>
      <w:r w:rsidRPr="00006B9A">
        <w:rPr>
          <w:i/>
          <w:iCs/>
        </w:rPr>
        <w:t>Evolution</w:t>
      </w:r>
      <w:r w:rsidRPr="00006B9A">
        <w:t xml:space="preserve"> </w:t>
      </w:r>
      <w:r w:rsidRPr="00006B9A">
        <w:rPr>
          <w:b/>
          <w:bCs/>
        </w:rPr>
        <w:t>67</w:t>
      </w:r>
      <w:r w:rsidRPr="00006B9A">
        <w:t>, 1607–1621. (doi:10.1111/evo.12083)</w:t>
      </w:r>
    </w:p>
    <w:p w14:paraId="656A4E95" w14:textId="77777777" w:rsidR="00006B9A" w:rsidRPr="00006B9A" w:rsidRDefault="00006B9A" w:rsidP="00006B9A">
      <w:pPr>
        <w:pStyle w:val="Bibliography"/>
      </w:pPr>
      <w:r w:rsidRPr="00006B9A">
        <w:t>21.</w:t>
      </w:r>
      <w:r w:rsidRPr="00006B9A">
        <w:tab/>
        <w:t xml:space="preserve">Wang SC, Marshall CR. 2016 Estimating times of extinction in the fossil record: Table 1. </w:t>
      </w:r>
      <w:r w:rsidRPr="00006B9A">
        <w:rPr>
          <w:i/>
          <w:iCs/>
        </w:rPr>
        <w:t>Biol. Lett.</w:t>
      </w:r>
      <w:r w:rsidRPr="00006B9A">
        <w:t xml:space="preserve"> </w:t>
      </w:r>
      <w:r w:rsidRPr="00006B9A">
        <w:rPr>
          <w:b/>
          <w:bCs/>
        </w:rPr>
        <w:t>12</w:t>
      </w:r>
      <w:r w:rsidRPr="00006B9A">
        <w:t>, 20150989. (doi:10.1098/rsbl.2015.0989)</w:t>
      </w:r>
    </w:p>
    <w:p w14:paraId="3A55A6A9" w14:textId="77777777" w:rsidR="00006B9A" w:rsidRPr="00006B9A" w:rsidRDefault="00006B9A" w:rsidP="00006B9A">
      <w:pPr>
        <w:pStyle w:val="Bibliography"/>
      </w:pPr>
      <w:r w:rsidRPr="00006B9A">
        <w:t>22.</w:t>
      </w:r>
      <w:r w:rsidRPr="00006B9A">
        <w:tab/>
        <w:t xml:space="preserve">Hansen TF, Pélabon C, Houle D. 2011 Heritability is not Evolvability. </w:t>
      </w:r>
      <w:r w:rsidRPr="00006B9A">
        <w:rPr>
          <w:i/>
          <w:iCs/>
        </w:rPr>
        <w:t>Evol. Biol.</w:t>
      </w:r>
      <w:r w:rsidRPr="00006B9A">
        <w:t xml:space="preserve"> </w:t>
      </w:r>
      <w:r w:rsidRPr="00006B9A">
        <w:rPr>
          <w:b/>
          <w:bCs/>
        </w:rPr>
        <w:t>38</w:t>
      </w:r>
      <w:r w:rsidRPr="00006B9A">
        <w:t>, 258–277. (doi:10.1007/s11692-011-9127-6)</w:t>
      </w:r>
    </w:p>
    <w:p w14:paraId="02E776E4" w14:textId="77777777" w:rsidR="00006B9A" w:rsidRPr="00006B9A" w:rsidRDefault="00006B9A" w:rsidP="00006B9A">
      <w:pPr>
        <w:pStyle w:val="Bibliography"/>
      </w:pPr>
      <w:r w:rsidRPr="00006B9A">
        <w:t>23.</w:t>
      </w:r>
      <w:r w:rsidRPr="00006B9A">
        <w:tab/>
        <w:t xml:space="preserve">Hansen TF. 2012 Adaptive landscapes and macroevolutionary dynamics. In </w:t>
      </w:r>
      <w:r w:rsidRPr="00006B9A">
        <w:rPr>
          <w:i/>
          <w:iCs/>
        </w:rPr>
        <w:t>The Adaptive Landscape in Evolutionary Biology</w:t>
      </w:r>
      <w:r w:rsidRPr="00006B9A">
        <w:t xml:space="preserve"> (eds EI Svensson, R Calsbeek), pp. 205–226. Oxford: Oxford University Press. </w:t>
      </w:r>
    </w:p>
    <w:p w14:paraId="04C8C5F9" w14:textId="77777777" w:rsidR="00006B9A" w:rsidRPr="00006B9A" w:rsidRDefault="00006B9A" w:rsidP="00006B9A">
      <w:pPr>
        <w:pStyle w:val="Bibliography"/>
      </w:pPr>
      <w:r w:rsidRPr="00006B9A">
        <w:t>24.</w:t>
      </w:r>
      <w:r w:rsidRPr="00006B9A">
        <w:tab/>
        <w:t xml:space="preserve">Grabowski M, Roseman CC. 2015 Complex and changing patterns of natural selection explain the evolution of the human hip. </w:t>
      </w:r>
      <w:r w:rsidRPr="00006B9A">
        <w:rPr>
          <w:i/>
          <w:iCs/>
        </w:rPr>
        <w:t>J. Hum. Evol.</w:t>
      </w:r>
      <w:r w:rsidRPr="00006B9A">
        <w:t xml:space="preserve"> </w:t>
      </w:r>
      <w:r w:rsidRPr="00006B9A">
        <w:rPr>
          <w:b/>
          <w:bCs/>
        </w:rPr>
        <w:t>85</w:t>
      </w:r>
      <w:r w:rsidRPr="00006B9A">
        <w:t>, 94–110. (doi:10.1016/j.jhevol.2015.05.008)</w:t>
      </w:r>
    </w:p>
    <w:p w14:paraId="255F9D54" w14:textId="77777777" w:rsidR="00006B9A" w:rsidRPr="00006B9A" w:rsidRDefault="00006B9A" w:rsidP="00006B9A">
      <w:pPr>
        <w:pStyle w:val="Bibliography"/>
      </w:pPr>
      <w:r w:rsidRPr="00006B9A">
        <w:t>25.</w:t>
      </w:r>
      <w:r w:rsidRPr="00006B9A">
        <w:tab/>
        <w:t xml:space="preserve">Hereford J, Hansen TF, Houle D, Fenster C. 2004 Comparing strengths of directional selection: how strong is strong? </w:t>
      </w:r>
      <w:r w:rsidRPr="00006B9A">
        <w:rPr>
          <w:i/>
          <w:iCs/>
        </w:rPr>
        <w:t>Evolution</w:t>
      </w:r>
      <w:r w:rsidRPr="00006B9A">
        <w:t xml:space="preserve"> </w:t>
      </w:r>
      <w:r w:rsidRPr="00006B9A">
        <w:rPr>
          <w:b/>
          <w:bCs/>
        </w:rPr>
        <w:t>58</w:t>
      </w:r>
      <w:r w:rsidRPr="00006B9A">
        <w:t>, 2133–2143. (doi:10.1554/04-147)</w:t>
      </w:r>
    </w:p>
    <w:p w14:paraId="60236F01" w14:textId="77777777" w:rsidR="00006B9A" w:rsidRPr="00006B9A" w:rsidRDefault="00006B9A" w:rsidP="00006B9A">
      <w:pPr>
        <w:pStyle w:val="Bibliography"/>
      </w:pPr>
      <w:r w:rsidRPr="00006B9A">
        <w:t>26.</w:t>
      </w:r>
      <w:r w:rsidRPr="00006B9A">
        <w:tab/>
        <w:t xml:space="preserve">Grabowski M. 2016 Bigger Brains Led to Bigger Bodies?: The Correlated Evolution of Human Brain and Body Size. </w:t>
      </w:r>
      <w:r w:rsidRPr="00006B9A">
        <w:rPr>
          <w:i/>
          <w:iCs/>
        </w:rPr>
        <w:t>Curr. Anthropol.</w:t>
      </w:r>
      <w:r w:rsidRPr="00006B9A">
        <w:t xml:space="preserve"> </w:t>
      </w:r>
      <w:r w:rsidRPr="00006B9A">
        <w:rPr>
          <w:b/>
          <w:bCs/>
        </w:rPr>
        <w:t>57</w:t>
      </w:r>
      <w:r w:rsidRPr="00006B9A">
        <w:t>, 174–196. (doi:10.1086/685655)</w:t>
      </w:r>
    </w:p>
    <w:p w14:paraId="4A665F9A" w14:textId="77777777" w:rsidR="00006B9A" w:rsidRPr="00006B9A" w:rsidRDefault="00006B9A" w:rsidP="00006B9A">
      <w:pPr>
        <w:pStyle w:val="Bibliography"/>
      </w:pPr>
      <w:r w:rsidRPr="00006B9A">
        <w:t>27.</w:t>
      </w:r>
      <w:r w:rsidRPr="00006B9A">
        <w:tab/>
        <w:t xml:space="preserve">Langergraber KE </w:t>
      </w:r>
      <w:r w:rsidRPr="00006B9A">
        <w:rPr>
          <w:i/>
          <w:iCs/>
        </w:rPr>
        <w:t>et al.</w:t>
      </w:r>
      <w:r w:rsidRPr="00006B9A">
        <w:t xml:space="preserve"> 2012 Generation times in wild chimpanzees and gorillas suggest earlier divergence times in great ape and human evolution. </w:t>
      </w:r>
      <w:r w:rsidRPr="00006B9A">
        <w:rPr>
          <w:i/>
          <w:iCs/>
        </w:rPr>
        <w:t>Proc. Natl. Acad. Sci.</w:t>
      </w:r>
      <w:r w:rsidRPr="00006B9A">
        <w:t xml:space="preserve"> </w:t>
      </w:r>
      <w:r w:rsidRPr="00006B9A">
        <w:rPr>
          <w:b/>
          <w:bCs/>
        </w:rPr>
        <w:t>109</w:t>
      </w:r>
      <w:r w:rsidRPr="00006B9A">
        <w:t>, 15716–15721. (doi:10.1073/pnas.1211740109)</w:t>
      </w:r>
    </w:p>
    <w:p w14:paraId="546E7E32" w14:textId="77777777" w:rsidR="00006B9A" w:rsidRPr="00006B9A" w:rsidRDefault="00006B9A" w:rsidP="00006B9A">
      <w:pPr>
        <w:pStyle w:val="Bibliography"/>
      </w:pPr>
      <w:r w:rsidRPr="00006B9A">
        <w:t>28.</w:t>
      </w:r>
      <w:r w:rsidRPr="00006B9A">
        <w:tab/>
        <w:t xml:space="preserve">Gould SJ. 2002 </w:t>
      </w:r>
      <w:r w:rsidRPr="00006B9A">
        <w:rPr>
          <w:i/>
          <w:iCs/>
        </w:rPr>
        <w:t>The structure of evolutionary theory</w:t>
      </w:r>
      <w:r w:rsidRPr="00006B9A">
        <w:t xml:space="preserve">. Cambridge, Mass: Belknap Press of Harvard University Press. </w:t>
      </w:r>
    </w:p>
    <w:p w14:paraId="2DEC298B" w14:textId="77777777" w:rsidR="00006B9A" w:rsidRPr="00006B9A" w:rsidRDefault="00006B9A" w:rsidP="00006B9A">
      <w:pPr>
        <w:pStyle w:val="Bibliography"/>
      </w:pPr>
      <w:r w:rsidRPr="00006B9A">
        <w:lastRenderedPageBreak/>
        <w:t>29.</w:t>
      </w:r>
      <w:r w:rsidRPr="00006B9A">
        <w:tab/>
        <w:t xml:space="preserve">Jablonski D. 2008 Species selection: Theory and data. </w:t>
      </w:r>
      <w:r w:rsidRPr="00006B9A">
        <w:rPr>
          <w:i/>
          <w:iCs/>
        </w:rPr>
        <w:t>Annu. Rev. Ecol. Evol. Syst.</w:t>
      </w:r>
      <w:r w:rsidRPr="00006B9A">
        <w:t xml:space="preserve"> </w:t>
      </w:r>
      <w:r w:rsidRPr="00006B9A">
        <w:rPr>
          <w:b/>
          <w:bCs/>
        </w:rPr>
        <w:t>39</w:t>
      </w:r>
      <w:r w:rsidRPr="00006B9A">
        <w:t xml:space="preserve">, 501–524. </w:t>
      </w:r>
    </w:p>
    <w:p w14:paraId="58028A1E" w14:textId="77777777" w:rsidR="00006B9A" w:rsidRPr="00006B9A" w:rsidRDefault="00006B9A" w:rsidP="00006B9A">
      <w:pPr>
        <w:pStyle w:val="Bibliography"/>
      </w:pPr>
      <w:r w:rsidRPr="00006B9A">
        <w:t>30.</w:t>
      </w:r>
      <w:r w:rsidRPr="00006B9A">
        <w:tab/>
        <w:t xml:space="preserve">Gillespie JH. 2004 </w:t>
      </w:r>
      <w:r w:rsidRPr="00006B9A">
        <w:rPr>
          <w:i/>
          <w:iCs/>
        </w:rPr>
        <w:t>Population genetics: a concise guide</w:t>
      </w:r>
      <w:r w:rsidRPr="00006B9A">
        <w:t xml:space="preserve">. 2nd ed. Baltimore, Md: Johns Hopkins University Press. </w:t>
      </w:r>
    </w:p>
    <w:p w14:paraId="74798BD1" w14:textId="77777777" w:rsidR="00006B9A" w:rsidRPr="00006B9A" w:rsidRDefault="00006B9A" w:rsidP="00006B9A">
      <w:pPr>
        <w:pStyle w:val="Bibliography"/>
      </w:pPr>
      <w:r w:rsidRPr="00006B9A">
        <w:t>31.</w:t>
      </w:r>
      <w:r w:rsidRPr="00006B9A">
        <w:tab/>
        <w:t xml:space="preserve">Hunt G. 2012 Measuring rates of phenotypic evolution and the inseparability of tempo and mode. </w:t>
      </w:r>
      <w:r w:rsidRPr="00006B9A">
        <w:rPr>
          <w:i/>
          <w:iCs/>
        </w:rPr>
        <w:t>Paleobiology</w:t>
      </w:r>
      <w:r w:rsidRPr="00006B9A">
        <w:t xml:space="preserve"> </w:t>
      </w:r>
      <w:r w:rsidRPr="00006B9A">
        <w:rPr>
          <w:b/>
          <w:bCs/>
        </w:rPr>
        <w:t>38</w:t>
      </w:r>
      <w:r w:rsidRPr="00006B9A">
        <w:t>, 351–373. (doi:10.1666/11047.1)</w:t>
      </w:r>
    </w:p>
    <w:p w14:paraId="2E0D29D1" w14:textId="75F5D8D8" w:rsidR="005B51B1" w:rsidRPr="00F25770" w:rsidRDefault="005B51B1" w:rsidP="005B51B1">
      <w:pPr>
        <w:pStyle w:val="SMcaption"/>
        <w:rPr>
          <w:b/>
        </w:rPr>
      </w:pPr>
      <w:r>
        <w:rPr>
          <w:b/>
        </w:rPr>
        <w:fldChar w:fldCharType="end"/>
      </w:r>
    </w:p>
    <w:p w14:paraId="4A09F2B8" w14:textId="77777777" w:rsidR="00B07F2F" w:rsidRDefault="00B07F2F"/>
    <w:sectPr w:rsidR="00B07F2F" w:rsidSect="009C4CA4">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9D5CF" w14:textId="77777777" w:rsidR="00606F7D" w:rsidRDefault="00606F7D">
      <w:r>
        <w:separator/>
      </w:r>
    </w:p>
  </w:endnote>
  <w:endnote w:type="continuationSeparator" w:id="0">
    <w:p w14:paraId="73BDB286" w14:textId="77777777" w:rsidR="00606F7D" w:rsidRDefault="00606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548A" w14:textId="134158A5" w:rsidR="009C4CA4" w:rsidRDefault="009C4CA4">
    <w:pPr>
      <w:pStyle w:val="Footer"/>
      <w:jc w:val="right"/>
    </w:pPr>
    <w:r>
      <w:fldChar w:fldCharType="begin"/>
    </w:r>
    <w:r>
      <w:instrText xml:space="preserve"> PAGE   \* MERGEFORMAT </w:instrText>
    </w:r>
    <w:r>
      <w:fldChar w:fldCharType="separate"/>
    </w:r>
    <w:r w:rsidR="00055326">
      <w:rPr>
        <w:noProof/>
      </w:rPr>
      <w:t>25</w:t>
    </w:r>
    <w:r>
      <w:fldChar w:fldCharType="end"/>
    </w:r>
  </w:p>
  <w:p w14:paraId="195117E3" w14:textId="77777777" w:rsidR="009C4CA4" w:rsidRDefault="009C4CA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8F5F0" w14:textId="77777777" w:rsidR="00606F7D" w:rsidRDefault="00606F7D">
      <w:r>
        <w:separator/>
      </w:r>
    </w:p>
  </w:footnote>
  <w:footnote w:type="continuationSeparator" w:id="0">
    <w:p w14:paraId="4385F77A" w14:textId="77777777" w:rsidR="00606F7D" w:rsidRDefault="00606F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B3024" w14:textId="77777777" w:rsidR="009C4CA4" w:rsidRPr="005001AC" w:rsidRDefault="009C4CA4" w:rsidP="009C4CA4">
    <w:pPr>
      <w:jc w:val="right"/>
      <w:rPr>
        <w:sz w:val="20"/>
      </w:rPr>
    </w:pPr>
  </w:p>
  <w:p w14:paraId="7752B881" w14:textId="77777777" w:rsidR="009C4CA4" w:rsidRDefault="009C4CA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1C2C"/>
    <w:multiLevelType w:val="hybridMultilevel"/>
    <w:tmpl w:val="D556E2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1B1"/>
    <w:rsid w:val="00006B9A"/>
    <w:rsid w:val="00031793"/>
    <w:rsid w:val="000419EC"/>
    <w:rsid w:val="00055326"/>
    <w:rsid w:val="00093AA2"/>
    <w:rsid w:val="000C3700"/>
    <w:rsid w:val="000C5CAB"/>
    <w:rsid w:val="000D1905"/>
    <w:rsid w:val="000E5834"/>
    <w:rsid w:val="000F244F"/>
    <w:rsid w:val="000F4C15"/>
    <w:rsid w:val="001132E6"/>
    <w:rsid w:val="00123599"/>
    <w:rsid w:val="001278E2"/>
    <w:rsid w:val="00171B09"/>
    <w:rsid w:val="001757CC"/>
    <w:rsid w:val="00193162"/>
    <w:rsid w:val="001948FE"/>
    <w:rsid w:val="00194ADD"/>
    <w:rsid w:val="001A1611"/>
    <w:rsid w:val="001A753B"/>
    <w:rsid w:val="001B66D6"/>
    <w:rsid w:val="001C7DFB"/>
    <w:rsid w:val="001D7117"/>
    <w:rsid w:val="001E5D83"/>
    <w:rsid w:val="001F1879"/>
    <w:rsid w:val="001F72AF"/>
    <w:rsid w:val="002338FB"/>
    <w:rsid w:val="00261FC1"/>
    <w:rsid w:val="00263D61"/>
    <w:rsid w:val="00293D0C"/>
    <w:rsid w:val="002A28D2"/>
    <w:rsid w:val="002A4780"/>
    <w:rsid w:val="002B4551"/>
    <w:rsid w:val="002D47C0"/>
    <w:rsid w:val="002E64D4"/>
    <w:rsid w:val="00301301"/>
    <w:rsid w:val="00301CFD"/>
    <w:rsid w:val="0032024D"/>
    <w:rsid w:val="0032352C"/>
    <w:rsid w:val="003624B1"/>
    <w:rsid w:val="00391410"/>
    <w:rsid w:val="003A6538"/>
    <w:rsid w:val="003A69A7"/>
    <w:rsid w:val="003C7560"/>
    <w:rsid w:val="003D41F0"/>
    <w:rsid w:val="003F05B8"/>
    <w:rsid w:val="003F7604"/>
    <w:rsid w:val="00405618"/>
    <w:rsid w:val="004129C4"/>
    <w:rsid w:val="00421DB8"/>
    <w:rsid w:val="004457DA"/>
    <w:rsid w:val="0045270C"/>
    <w:rsid w:val="00460F83"/>
    <w:rsid w:val="004637B5"/>
    <w:rsid w:val="00466576"/>
    <w:rsid w:val="0049636E"/>
    <w:rsid w:val="004A7E8C"/>
    <w:rsid w:val="004D4495"/>
    <w:rsid w:val="004E38CC"/>
    <w:rsid w:val="004E44A4"/>
    <w:rsid w:val="00523865"/>
    <w:rsid w:val="00525647"/>
    <w:rsid w:val="005410FD"/>
    <w:rsid w:val="00550807"/>
    <w:rsid w:val="00553D6E"/>
    <w:rsid w:val="0056571A"/>
    <w:rsid w:val="00574834"/>
    <w:rsid w:val="00586DC8"/>
    <w:rsid w:val="0059111B"/>
    <w:rsid w:val="00597618"/>
    <w:rsid w:val="005B41CD"/>
    <w:rsid w:val="005B51B1"/>
    <w:rsid w:val="005C1ECC"/>
    <w:rsid w:val="005D5418"/>
    <w:rsid w:val="005E7372"/>
    <w:rsid w:val="005F5A63"/>
    <w:rsid w:val="00606F7D"/>
    <w:rsid w:val="00632126"/>
    <w:rsid w:val="00635A8A"/>
    <w:rsid w:val="00635D7A"/>
    <w:rsid w:val="0064051D"/>
    <w:rsid w:val="00663768"/>
    <w:rsid w:val="006659B6"/>
    <w:rsid w:val="0067462E"/>
    <w:rsid w:val="00687907"/>
    <w:rsid w:val="006A1E30"/>
    <w:rsid w:val="006A58D1"/>
    <w:rsid w:val="006B344D"/>
    <w:rsid w:val="006D263E"/>
    <w:rsid w:val="006F0E20"/>
    <w:rsid w:val="00765423"/>
    <w:rsid w:val="0077095A"/>
    <w:rsid w:val="0077587B"/>
    <w:rsid w:val="00775D36"/>
    <w:rsid w:val="00795CD9"/>
    <w:rsid w:val="007A6B79"/>
    <w:rsid w:val="007C4594"/>
    <w:rsid w:val="007D07D3"/>
    <w:rsid w:val="00800530"/>
    <w:rsid w:val="008217E9"/>
    <w:rsid w:val="00844957"/>
    <w:rsid w:val="00854061"/>
    <w:rsid w:val="008C4B2D"/>
    <w:rsid w:val="008F4B30"/>
    <w:rsid w:val="009132E8"/>
    <w:rsid w:val="009145EC"/>
    <w:rsid w:val="00995E5A"/>
    <w:rsid w:val="009B5EDB"/>
    <w:rsid w:val="009C4CA4"/>
    <w:rsid w:val="009D2150"/>
    <w:rsid w:val="009D2BB2"/>
    <w:rsid w:val="009E5C84"/>
    <w:rsid w:val="00A44DCB"/>
    <w:rsid w:val="00A60270"/>
    <w:rsid w:val="00A930BF"/>
    <w:rsid w:val="00A938B4"/>
    <w:rsid w:val="00AA0EC0"/>
    <w:rsid w:val="00AA1224"/>
    <w:rsid w:val="00AA178B"/>
    <w:rsid w:val="00AA69B7"/>
    <w:rsid w:val="00AB23D6"/>
    <w:rsid w:val="00AD1925"/>
    <w:rsid w:val="00AD74A9"/>
    <w:rsid w:val="00AF0AC0"/>
    <w:rsid w:val="00B03F81"/>
    <w:rsid w:val="00B07F2F"/>
    <w:rsid w:val="00B16B3B"/>
    <w:rsid w:val="00B319B2"/>
    <w:rsid w:val="00B32FEC"/>
    <w:rsid w:val="00B4082C"/>
    <w:rsid w:val="00B4148E"/>
    <w:rsid w:val="00B703CD"/>
    <w:rsid w:val="00B7442F"/>
    <w:rsid w:val="00B778CF"/>
    <w:rsid w:val="00B87809"/>
    <w:rsid w:val="00BB0CA6"/>
    <w:rsid w:val="00BD6A8D"/>
    <w:rsid w:val="00BE08A1"/>
    <w:rsid w:val="00BE5243"/>
    <w:rsid w:val="00C15A88"/>
    <w:rsid w:val="00C2002F"/>
    <w:rsid w:val="00C348FE"/>
    <w:rsid w:val="00C60149"/>
    <w:rsid w:val="00C67F33"/>
    <w:rsid w:val="00C93A32"/>
    <w:rsid w:val="00CA4785"/>
    <w:rsid w:val="00CB5243"/>
    <w:rsid w:val="00CC58A9"/>
    <w:rsid w:val="00CD4230"/>
    <w:rsid w:val="00CF2054"/>
    <w:rsid w:val="00D014BA"/>
    <w:rsid w:val="00D03F4E"/>
    <w:rsid w:val="00D22991"/>
    <w:rsid w:val="00D4727A"/>
    <w:rsid w:val="00D54DFC"/>
    <w:rsid w:val="00DA7917"/>
    <w:rsid w:val="00DA7E64"/>
    <w:rsid w:val="00DD7711"/>
    <w:rsid w:val="00DF296B"/>
    <w:rsid w:val="00DF4AE5"/>
    <w:rsid w:val="00DF7DCC"/>
    <w:rsid w:val="00E0553B"/>
    <w:rsid w:val="00E37D78"/>
    <w:rsid w:val="00E72D19"/>
    <w:rsid w:val="00EA3C9E"/>
    <w:rsid w:val="00EC7C34"/>
    <w:rsid w:val="00EE6509"/>
    <w:rsid w:val="00EE7AEF"/>
    <w:rsid w:val="00EF5C08"/>
    <w:rsid w:val="00F03375"/>
    <w:rsid w:val="00F569DC"/>
    <w:rsid w:val="00F7024C"/>
    <w:rsid w:val="00F81F93"/>
    <w:rsid w:val="00F92CB1"/>
    <w:rsid w:val="00FB2477"/>
    <w:rsid w:val="00FD080C"/>
    <w:rsid w:val="00FD2DCF"/>
    <w:rsid w:val="00FF41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607A7"/>
  <w15:docId w15:val="{F6674BEE-0D4A-4744-8691-3CC44E771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1B1"/>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5B51B1"/>
    <w:pPr>
      <w:keepNext/>
      <w:spacing w:before="240" w:after="60"/>
      <w:outlineLvl w:val="0"/>
    </w:pPr>
    <w:rPr>
      <w:b/>
      <w:bCs/>
      <w:kern w:val="32"/>
      <w:szCs w:val="24"/>
    </w:rPr>
  </w:style>
  <w:style w:type="paragraph" w:styleId="Heading2">
    <w:name w:val="heading 2"/>
    <w:basedOn w:val="Normal"/>
    <w:next w:val="Normal"/>
    <w:link w:val="Heading2Char"/>
    <w:semiHidden/>
    <w:qFormat/>
    <w:rsid w:val="005B51B1"/>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qFormat/>
    <w:rsid w:val="005B51B1"/>
    <w:pPr>
      <w:keepNext/>
      <w:spacing w:line="480" w:lineRule="auto"/>
      <w:outlineLvl w:val="2"/>
    </w:pPr>
    <w:rPr>
      <w:rFonts w:ascii="Times" w:eastAsia="Times" w:hAnsi="Times"/>
      <w:b/>
    </w:rPr>
  </w:style>
  <w:style w:type="paragraph" w:styleId="Heading4">
    <w:name w:val="heading 4"/>
    <w:basedOn w:val="Normal"/>
    <w:next w:val="Normal"/>
    <w:link w:val="Heading4Char"/>
    <w:semiHidden/>
    <w:qFormat/>
    <w:rsid w:val="005B51B1"/>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5B51B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5B51B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5B51B1"/>
    <w:pPr>
      <w:spacing w:before="240" w:after="60"/>
      <w:outlineLvl w:val="6"/>
    </w:pPr>
    <w:rPr>
      <w:rFonts w:ascii="Calibri" w:hAnsi="Calibri"/>
      <w:szCs w:val="24"/>
    </w:rPr>
  </w:style>
  <w:style w:type="paragraph" w:styleId="Heading8">
    <w:name w:val="heading 8"/>
    <w:basedOn w:val="Normal"/>
    <w:next w:val="Normal"/>
    <w:link w:val="Heading8Char"/>
    <w:semiHidden/>
    <w:qFormat/>
    <w:rsid w:val="005B51B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5B51B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51B1"/>
    <w:rPr>
      <w:rFonts w:ascii="Times New Roman" w:eastAsia="Times New Roman" w:hAnsi="Times New Roman" w:cs="Times New Roman"/>
      <w:b/>
      <w:bCs/>
      <w:kern w:val="32"/>
      <w:sz w:val="24"/>
      <w:szCs w:val="24"/>
    </w:rPr>
  </w:style>
  <w:style w:type="character" w:customStyle="1" w:styleId="Heading2Char">
    <w:name w:val="Heading 2 Char"/>
    <w:basedOn w:val="DefaultParagraphFont"/>
    <w:link w:val="Heading2"/>
    <w:semiHidden/>
    <w:rsid w:val="005B51B1"/>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5B51B1"/>
    <w:rPr>
      <w:rFonts w:ascii="Times" w:eastAsia="Times" w:hAnsi="Times" w:cs="Times New Roman"/>
      <w:b/>
      <w:sz w:val="24"/>
      <w:szCs w:val="20"/>
    </w:rPr>
  </w:style>
  <w:style w:type="character" w:customStyle="1" w:styleId="Heading4Char">
    <w:name w:val="Heading 4 Char"/>
    <w:basedOn w:val="DefaultParagraphFont"/>
    <w:link w:val="Heading4"/>
    <w:semiHidden/>
    <w:rsid w:val="005B51B1"/>
    <w:rPr>
      <w:rFonts w:ascii="Times" w:eastAsia="Times New Roman" w:hAnsi="Times" w:cs="Times New Roman"/>
      <w:b/>
      <w:color w:val="0000FF"/>
      <w:sz w:val="44"/>
      <w:szCs w:val="20"/>
    </w:rPr>
  </w:style>
  <w:style w:type="character" w:customStyle="1" w:styleId="Heading5Char">
    <w:name w:val="Heading 5 Char"/>
    <w:basedOn w:val="DefaultParagraphFont"/>
    <w:link w:val="Heading5"/>
    <w:semiHidden/>
    <w:rsid w:val="005B51B1"/>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5B51B1"/>
    <w:rPr>
      <w:rFonts w:ascii="Calibri" w:eastAsia="Times New Roman" w:hAnsi="Calibri" w:cs="Times New Roman"/>
      <w:b/>
      <w:bCs/>
    </w:rPr>
  </w:style>
  <w:style w:type="character" w:customStyle="1" w:styleId="Heading7Char">
    <w:name w:val="Heading 7 Char"/>
    <w:basedOn w:val="DefaultParagraphFont"/>
    <w:link w:val="Heading7"/>
    <w:semiHidden/>
    <w:rsid w:val="005B51B1"/>
    <w:rPr>
      <w:rFonts w:ascii="Calibri" w:eastAsia="Times New Roman" w:hAnsi="Calibri" w:cs="Times New Roman"/>
      <w:sz w:val="24"/>
      <w:szCs w:val="24"/>
    </w:rPr>
  </w:style>
  <w:style w:type="character" w:customStyle="1" w:styleId="Heading8Char">
    <w:name w:val="Heading 8 Char"/>
    <w:basedOn w:val="DefaultParagraphFont"/>
    <w:link w:val="Heading8"/>
    <w:semiHidden/>
    <w:rsid w:val="005B51B1"/>
    <w:rPr>
      <w:rFonts w:ascii="Calibri" w:eastAsia="Times New Roman" w:hAnsi="Calibri" w:cs="Times New Roman"/>
      <w:i/>
      <w:iCs/>
      <w:sz w:val="24"/>
      <w:szCs w:val="24"/>
    </w:rPr>
  </w:style>
  <w:style w:type="character" w:customStyle="1" w:styleId="Heading9Char">
    <w:name w:val="Heading 9 Char"/>
    <w:basedOn w:val="DefaultParagraphFont"/>
    <w:link w:val="Heading9"/>
    <w:semiHidden/>
    <w:rsid w:val="005B51B1"/>
    <w:rPr>
      <w:rFonts w:ascii="Cambria" w:eastAsia="Times New Roman" w:hAnsi="Cambria" w:cs="Times New Roman"/>
    </w:rPr>
  </w:style>
  <w:style w:type="character" w:styleId="PageNumber">
    <w:name w:val="page number"/>
    <w:basedOn w:val="DefaultParagraphFont"/>
    <w:semiHidden/>
    <w:rsid w:val="005B51B1"/>
  </w:style>
  <w:style w:type="paragraph" w:customStyle="1" w:styleId="SMHeading">
    <w:name w:val="SM Heading"/>
    <w:basedOn w:val="Heading1"/>
    <w:qFormat/>
    <w:rsid w:val="005B51B1"/>
  </w:style>
  <w:style w:type="paragraph" w:customStyle="1" w:styleId="SMSubheading">
    <w:name w:val="SM Subheading"/>
    <w:basedOn w:val="Normal"/>
    <w:qFormat/>
    <w:rsid w:val="005B51B1"/>
    <w:rPr>
      <w:u w:val="words"/>
    </w:rPr>
  </w:style>
  <w:style w:type="paragraph" w:customStyle="1" w:styleId="SMText">
    <w:name w:val="SM Text"/>
    <w:basedOn w:val="Normal"/>
    <w:qFormat/>
    <w:rsid w:val="005B51B1"/>
    <w:pPr>
      <w:ind w:firstLine="480"/>
    </w:pPr>
  </w:style>
  <w:style w:type="paragraph" w:customStyle="1" w:styleId="SMcaption">
    <w:name w:val="SM caption"/>
    <w:basedOn w:val="SMText"/>
    <w:qFormat/>
    <w:rsid w:val="005B51B1"/>
    <w:pPr>
      <w:ind w:firstLine="0"/>
    </w:pPr>
  </w:style>
  <w:style w:type="paragraph" w:styleId="BalloonText">
    <w:name w:val="Balloon Text"/>
    <w:basedOn w:val="Normal"/>
    <w:link w:val="BalloonTextChar"/>
    <w:semiHidden/>
    <w:rsid w:val="005B51B1"/>
    <w:rPr>
      <w:rFonts w:ascii="Tahoma" w:hAnsi="Tahoma" w:cs="Tahoma"/>
      <w:sz w:val="16"/>
      <w:szCs w:val="16"/>
    </w:rPr>
  </w:style>
  <w:style w:type="character" w:customStyle="1" w:styleId="BalloonTextChar">
    <w:name w:val="Balloon Text Char"/>
    <w:basedOn w:val="DefaultParagraphFont"/>
    <w:link w:val="BalloonText"/>
    <w:semiHidden/>
    <w:rsid w:val="005B51B1"/>
    <w:rPr>
      <w:rFonts w:ascii="Tahoma" w:eastAsia="Times New Roman" w:hAnsi="Tahoma" w:cs="Tahoma"/>
      <w:sz w:val="16"/>
      <w:szCs w:val="16"/>
    </w:rPr>
  </w:style>
  <w:style w:type="paragraph" w:styleId="Bibliography">
    <w:name w:val="Bibliography"/>
    <w:basedOn w:val="Normal"/>
    <w:next w:val="Normal"/>
    <w:uiPriority w:val="37"/>
    <w:semiHidden/>
    <w:rsid w:val="005B51B1"/>
    <w:pPr>
      <w:tabs>
        <w:tab w:val="left" w:pos="384"/>
      </w:tabs>
      <w:spacing w:after="240"/>
      <w:ind w:left="384" w:hanging="384"/>
    </w:pPr>
  </w:style>
  <w:style w:type="paragraph" w:styleId="BlockText">
    <w:name w:val="Block Text"/>
    <w:basedOn w:val="Normal"/>
    <w:semiHidden/>
    <w:rsid w:val="005B51B1"/>
    <w:pPr>
      <w:spacing w:after="120"/>
      <w:ind w:left="1440" w:right="1440"/>
    </w:pPr>
  </w:style>
  <w:style w:type="paragraph" w:styleId="BodyText">
    <w:name w:val="Body Text"/>
    <w:basedOn w:val="Normal"/>
    <w:link w:val="BodyTextChar"/>
    <w:semiHidden/>
    <w:rsid w:val="005B51B1"/>
    <w:pPr>
      <w:spacing w:after="120"/>
    </w:pPr>
  </w:style>
  <w:style w:type="character" w:customStyle="1" w:styleId="BodyTextChar">
    <w:name w:val="Body Text Char"/>
    <w:basedOn w:val="DefaultParagraphFont"/>
    <w:link w:val="BodyText"/>
    <w:semiHidden/>
    <w:rsid w:val="005B51B1"/>
    <w:rPr>
      <w:rFonts w:ascii="Times New Roman" w:eastAsia="Times New Roman" w:hAnsi="Times New Roman" w:cs="Times New Roman"/>
      <w:sz w:val="24"/>
      <w:szCs w:val="20"/>
    </w:rPr>
  </w:style>
  <w:style w:type="paragraph" w:styleId="BodyText2">
    <w:name w:val="Body Text 2"/>
    <w:basedOn w:val="Normal"/>
    <w:link w:val="BodyText2Char"/>
    <w:semiHidden/>
    <w:rsid w:val="005B51B1"/>
    <w:pPr>
      <w:spacing w:after="120" w:line="480" w:lineRule="auto"/>
    </w:pPr>
  </w:style>
  <w:style w:type="character" w:customStyle="1" w:styleId="BodyText2Char">
    <w:name w:val="Body Text 2 Char"/>
    <w:basedOn w:val="DefaultParagraphFont"/>
    <w:link w:val="BodyText2"/>
    <w:semiHidden/>
    <w:rsid w:val="005B51B1"/>
    <w:rPr>
      <w:rFonts w:ascii="Times New Roman" w:eastAsia="Times New Roman" w:hAnsi="Times New Roman" w:cs="Times New Roman"/>
      <w:sz w:val="24"/>
      <w:szCs w:val="20"/>
    </w:rPr>
  </w:style>
  <w:style w:type="paragraph" w:styleId="BodyText3">
    <w:name w:val="Body Text 3"/>
    <w:basedOn w:val="Normal"/>
    <w:link w:val="BodyText3Char"/>
    <w:semiHidden/>
    <w:rsid w:val="005B51B1"/>
    <w:pPr>
      <w:spacing w:after="120"/>
    </w:pPr>
    <w:rPr>
      <w:sz w:val="16"/>
      <w:szCs w:val="16"/>
    </w:rPr>
  </w:style>
  <w:style w:type="character" w:customStyle="1" w:styleId="BodyText3Char">
    <w:name w:val="Body Text 3 Char"/>
    <w:basedOn w:val="DefaultParagraphFont"/>
    <w:link w:val="BodyText3"/>
    <w:semiHidden/>
    <w:rsid w:val="005B51B1"/>
    <w:rPr>
      <w:rFonts w:ascii="Times New Roman" w:eastAsia="Times New Roman" w:hAnsi="Times New Roman" w:cs="Times New Roman"/>
      <w:sz w:val="16"/>
      <w:szCs w:val="16"/>
    </w:rPr>
  </w:style>
  <w:style w:type="paragraph" w:styleId="BodyTextFirstIndent">
    <w:name w:val="Body Text First Indent"/>
    <w:basedOn w:val="BodyText"/>
    <w:link w:val="BodyTextFirstIndentChar"/>
    <w:semiHidden/>
    <w:rsid w:val="005B51B1"/>
    <w:pPr>
      <w:ind w:firstLine="210"/>
    </w:pPr>
  </w:style>
  <w:style w:type="character" w:customStyle="1" w:styleId="BodyTextFirstIndentChar">
    <w:name w:val="Body Text First Indent Char"/>
    <w:basedOn w:val="BodyTextChar"/>
    <w:link w:val="BodyTextFirstIndent"/>
    <w:semiHidden/>
    <w:rsid w:val="005B51B1"/>
    <w:rPr>
      <w:rFonts w:ascii="Times New Roman" w:eastAsia="Times New Roman" w:hAnsi="Times New Roman" w:cs="Times New Roman"/>
      <w:sz w:val="24"/>
      <w:szCs w:val="20"/>
    </w:rPr>
  </w:style>
  <w:style w:type="paragraph" w:styleId="BodyTextIndent">
    <w:name w:val="Body Text Indent"/>
    <w:basedOn w:val="Normal"/>
    <w:link w:val="BodyTextIndentChar"/>
    <w:semiHidden/>
    <w:rsid w:val="005B51B1"/>
    <w:pPr>
      <w:spacing w:after="120"/>
      <w:ind w:left="360"/>
    </w:pPr>
  </w:style>
  <w:style w:type="character" w:customStyle="1" w:styleId="BodyTextIndentChar">
    <w:name w:val="Body Text Indent Char"/>
    <w:basedOn w:val="DefaultParagraphFont"/>
    <w:link w:val="BodyTextIndent"/>
    <w:semiHidden/>
    <w:rsid w:val="005B51B1"/>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semiHidden/>
    <w:rsid w:val="005B51B1"/>
    <w:pPr>
      <w:ind w:firstLine="210"/>
    </w:pPr>
  </w:style>
  <w:style w:type="character" w:customStyle="1" w:styleId="BodyTextFirstIndent2Char">
    <w:name w:val="Body Text First Indent 2 Char"/>
    <w:basedOn w:val="BodyTextIndentChar"/>
    <w:link w:val="BodyTextFirstIndent2"/>
    <w:semiHidden/>
    <w:rsid w:val="005B51B1"/>
    <w:rPr>
      <w:rFonts w:ascii="Times New Roman" w:eastAsia="Times New Roman" w:hAnsi="Times New Roman" w:cs="Times New Roman"/>
      <w:sz w:val="24"/>
      <w:szCs w:val="20"/>
    </w:rPr>
  </w:style>
  <w:style w:type="paragraph" w:styleId="BodyTextIndent2">
    <w:name w:val="Body Text Indent 2"/>
    <w:basedOn w:val="Normal"/>
    <w:link w:val="BodyTextIndent2Char"/>
    <w:semiHidden/>
    <w:rsid w:val="005B51B1"/>
    <w:pPr>
      <w:spacing w:after="120" w:line="480" w:lineRule="auto"/>
      <w:ind w:left="360"/>
    </w:pPr>
  </w:style>
  <w:style w:type="character" w:customStyle="1" w:styleId="BodyTextIndent2Char">
    <w:name w:val="Body Text Indent 2 Char"/>
    <w:basedOn w:val="DefaultParagraphFont"/>
    <w:link w:val="BodyTextIndent2"/>
    <w:semiHidden/>
    <w:rsid w:val="005B51B1"/>
    <w:rPr>
      <w:rFonts w:ascii="Times New Roman" w:eastAsia="Times New Roman" w:hAnsi="Times New Roman" w:cs="Times New Roman"/>
      <w:sz w:val="24"/>
      <w:szCs w:val="20"/>
    </w:rPr>
  </w:style>
  <w:style w:type="paragraph" w:styleId="BodyTextIndent3">
    <w:name w:val="Body Text Indent 3"/>
    <w:basedOn w:val="Normal"/>
    <w:link w:val="BodyTextIndent3Char"/>
    <w:semiHidden/>
    <w:rsid w:val="005B51B1"/>
    <w:pPr>
      <w:spacing w:after="120"/>
      <w:ind w:left="360"/>
    </w:pPr>
    <w:rPr>
      <w:sz w:val="16"/>
      <w:szCs w:val="16"/>
    </w:rPr>
  </w:style>
  <w:style w:type="character" w:customStyle="1" w:styleId="BodyTextIndent3Char">
    <w:name w:val="Body Text Indent 3 Char"/>
    <w:basedOn w:val="DefaultParagraphFont"/>
    <w:link w:val="BodyTextIndent3"/>
    <w:semiHidden/>
    <w:rsid w:val="005B51B1"/>
    <w:rPr>
      <w:rFonts w:ascii="Times New Roman" w:eastAsia="Times New Roman" w:hAnsi="Times New Roman" w:cs="Times New Roman"/>
      <w:sz w:val="16"/>
      <w:szCs w:val="16"/>
    </w:rPr>
  </w:style>
  <w:style w:type="paragraph" w:styleId="Caption">
    <w:name w:val="caption"/>
    <w:basedOn w:val="Normal"/>
    <w:next w:val="Normal"/>
    <w:uiPriority w:val="35"/>
    <w:qFormat/>
    <w:rsid w:val="005B51B1"/>
    <w:rPr>
      <w:b/>
      <w:bCs/>
      <w:sz w:val="20"/>
    </w:rPr>
  </w:style>
  <w:style w:type="paragraph" w:styleId="Closing">
    <w:name w:val="Closing"/>
    <w:basedOn w:val="Normal"/>
    <w:link w:val="ClosingChar"/>
    <w:semiHidden/>
    <w:rsid w:val="005B51B1"/>
    <w:pPr>
      <w:ind w:left="4320"/>
    </w:pPr>
  </w:style>
  <w:style w:type="character" w:customStyle="1" w:styleId="ClosingChar">
    <w:name w:val="Closing Char"/>
    <w:basedOn w:val="DefaultParagraphFont"/>
    <w:link w:val="Closing"/>
    <w:semiHidden/>
    <w:rsid w:val="005B51B1"/>
    <w:rPr>
      <w:rFonts w:ascii="Times New Roman" w:eastAsia="Times New Roman" w:hAnsi="Times New Roman" w:cs="Times New Roman"/>
      <w:sz w:val="24"/>
      <w:szCs w:val="20"/>
    </w:rPr>
  </w:style>
  <w:style w:type="paragraph" w:styleId="CommentText">
    <w:name w:val="annotation text"/>
    <w:basedOn w:val="Normal"/>
    <w:link w:val="CommentTextChar"/>
    <w:semiHidden/>
    <w:rsid w:val="005B51B1"/>
    <w:rPr>
      <w:sz w:val="20"/>
    </w:rPr>
  </w:style>
  <w:style w:type="character" w:customStyle="1" w:styleId="CommentTextChar">
    <w:name w:val="Comment Text Char"/>
    <w:basedOn w:val="DefaultParagraphFont"/>
    <w:link w:val="CommentText"/>
    <w:semiHidden/>
    <w:rsid w:val="005B51B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B51B1"/>
    <w:rPr>
      <w:b/>
      <w:bCs/>
    </w:rPr>
  </w:style>
  <w:style w:type="character" w:customStyle="1" w:styleId="CommentSubjectChar">
    <w:name w:val="Comment Subject Char"/>
    <w:basedOn w:val="CommentTextChar"/>
    <w:link w:val="CommentSubject"/>
    <w:semiHidden/>
    <w:rsid w:val="005B51B1"/>
    <w:rPr>
      <w:rFonts w:ascii="Times New Roman" w:eastAsia="Times New Roman" w:hAnsi="Times New Roman" w:cs="Times New Roman"/>
      <w:b/>
      <w:bCs/>
      <w:sz w:val="20"/>
      <w:szCs w:val="20"/>
    </w:rPr>
  </w:style>
  <w:style w:type="paragraph" w:styleId="Date">
    <w:name w:val="Date"/>
    <w:basedOn w:val="Normal"/>
    <w:next w:val="Normal"/>
    <w:link w:val="DateChar"/>
    <w:semiHidden/>
    <w:rsid w:val="005B51B1"/>
  </w:style>
  <w:style w:type="character" w:customStyle="1" w:styleId="DateChar">
    <w:name w:val="Date Char"/>
    <w:basedOn w:val="DefaultParagraphFont"/>
    <w:link w:val="Date"/>
    <w:semiHidden/>
    <w:rsid w:val="005B51B1"/>
    <w:rPr>
      <w:rFonts w:ascii="Times New Roman" w:eastAsia="Times New Roman" w:hAnsi="Times New Roman" w:cs="Times New Roman"/>
      <w:sz w:val="24"/>
      <w:szCs w:val="20"/>
    </w:rPr>
  </w:style>
  <w:style w:type="paragraph" w:styleId="DocumentMap">
    <w:name w:val="Document Map"/>
    <w:basedOn w:val="Normal"/>
    <w:link w:val="DocumentMapChar"/>
    <w:semiHidden/>
    <w:rsid w:val="005B51B1"/>
    <w:rPr>
      <w:rFonts w:ascii="Tahoma" w:hAnsi="Tahoma" w:cs="Tahoma"/>
      <w:sz w:val="16"/>
      <w:szCs w:val="16"/>
    </w:rPr>
  </w:style>
  <w:style w:type="character" w:customStyle="1" w:styleId="DocumentMapChar">
    <w:name w:val="Document Map Char"/>
    <w:basedOn w:val="DefaultParagraphFont"/>
    <w:link w:val="DocumentMap"/>
    <w:semiHidden/>
    <w:rsid w:val="005B51B1"/>
    <w:rPr>
      <w:rFonts w:ascii="Tahoma" w:eastAsia="Times New Roman" w:hAnsi="Tahoma" w:cs="Tahoma"/>
      <w:sz w:val="16"/>
      <w:szCs w:val="16"/>
    </w:rPr>
  </w:style>
  <w:style w:type="paragraph" w:styleId="E-mailSignature">
    <w:name w:val="E-mail Signature"/>
    <w:basedOn w:val="Normal"/>
    <w:link w:val="E-mailSignatureChar"/>
    <w:semiHidden/>
    <w:rsid w:val="005B51B1"/>
  </w:style>
  <w:style w:type="character" w:customStyle="1" w:styleId="E-mailSignatureChar">
    <w:name w:val="E-mail Signature Char"/>
    <w:basedOn w:val="DefaultParagraphFont"/>
    <w:link w:val="E-mailSignature"/>
    <w:semiHidden/>
    <w:rsid w:val="005B51B1"/>
    <w:rPr>
      <w:rFonts w:ascii="Times New Roman" w:eastAsia="Times New Roman" w:hAnsi="Times New Roman" w:cs="Times New Roman"/>
      <w:sz w:val="24"/>
      <w:szCs w:val="20"/>
    </w:rPr>
  </w:style>
  <w:style w:type="paragraph" w:styleId="EndnoteText">
    <w:name w:val="endnote text"/>
    <w:basedOn w:val="Normal"/>
    <w:link w:val="EndnoteTextChar"/>
    <w:semiHidden/>
    <w:rsid w:val="005B51B1"/>
    <w:rPr>
      <w:sz w:val="20"/>
    </w:rPr>
  </w:style>
  <w:style w:type="character" w:customStyle="1" w:styleId="EndnoteTextChar">
    <w:name w:val="Endnote Text Char"/>
    <w:basedOn w:val="DefaultParagraphFont"/>
    <w:link w:val="EndnoteText"/>
    <w:semiHidden/>
    <w:rsid w:val="005B51B1"/>
    <w:rPr>
      <w:rFonts w:ascii="Times New Roman" w:eastAsia="Times New Roman" w:hAnsi="Times New Roman" w:cs="Times New Roman"/>
      <w:sz w:val="20"/>
      <w:szCs w:val="20"/>
    </w:rPr>
  </w:style>
  <w:style w:type="paragraph" w:styleId="EnvelopeAddress">
    <w:name w:val="envelope address"/>
    <w:basedOn w:val="Normal"/>
    <w:semiHidden/>
    <w:rsid w:val="005B51B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5B51B1"/>
    <w:rPr>
      <w:rFonts w:ascii="Cambria" w:hAnsi="Cambria"/>
      <w:sz w:val="20"/>
    </w:rPr>
  </w:style>
  <w:style w:type="paragraph" w:styleId="Footer">
    <w:name w:val="footer"/>
    <w:basedOn w:val="Normal"/>
    <w:link w:val="FooterChar"/>
    <w:semiHidden/>
    <w:rsid w:val="005B51B1"/>
    <w:pPr>
      <w:tabs>
        <w:tab w:val="center" w:pos="4680"/>
        <w:tab w:val="right" w:pos="9360"/>
      </w:tabs>
    </w:pPr>
  </w:style>
  <w:style w:type="character" w:customStyle="1" w:styleId="FooterChar">
    <w:name w:val="Footer Char"/>
    <w:basedOn w:val="DefaultParagraphFont"/>
    <w:link w:val="Footer"/>
    <w:semiHidden/>
    <w:rsid w:val="005B51B1"/>
    <w:rPr>
      <w:rFonts w:ascii="Times New Roman" w:eastAsia="Times New Roman" w:hAnsi="Times New Roman" w:cs="Times New Roman"/>
      <w:sz w:val="24"/>
      <w:szCs w:val="20"/>
    </w:rPr>
  </w:style>
  <w:style w:type="paragraph" w:styleId="FootnoteText">
    <w:name w:val="footnote text"/>
    <w:basedOn w:val="Normal"/>
    <w:link w:val="FootnoteTextChar"/>
    <w:semiHidden/>
    <w:rsid w:val="005B51B1"/>
    <w:rPr>
      <w:sz w:val="20"/>
    </w:rPr>
  </w:style>
  <w:style w:type="character" w:customStyle="1" w:styleId="FootnoteTextChar">
    <w:name w:val="Footnote Text Char"/>
    <w:basedOn w:val="DefaultParagraphFont"/>
    <w:link w:val="FootnoteText"/>
    <w:semiHidden/>
    <w:rsid w:val="005B51B1"/>
    <w:rPr>
      <w:rFonts w:ascii="Times New Roman" w:eastAsia="Times New Roman" w:hAnsi="Times New Roman" w:cs="Times New Roman"/>
      <w:sz w:val="20"/>
      <w:szCs w:val="20"/>
    </w:rPr>
  </w:style>
  <w:style w:type="paragraph" w:styleId="Header">
    <w:name w:val="header"/>
    <w:basedOn w:val="Normal"/>
    <w:link w:val="HeaderChar"/>
    <w:semiHidden/>
    <w:rsid w:val="005B51B1"/>
    <w:pPr>
      <w:tabs>
        <w:tab w:val="center" w:pos="4680"/>
        <w:tab w:val="right" w:pos="9360"/>
      </w:tabs>
    </w:pPr>
  </w:style>
  <w:style w:type="character" w:customStyle="1" w:styleId="HeaderChar">
    <w:name w:val="Header Char"/>
    <w:basedOn w:val="DefaultParagraphFont"/>
    <w:link w:val="Header"/>
    <w:semiHidden/>
    <w:rsid w:val="005B51B1"/>
    <w:rPr>
      <w:rFonts w:ascii="Times New Roman" w:eastAsia="Times New Roman" w:hAnsi="Times New Roman" w:cs="Times New Roman"/>
      <w:sz w:val="24"/>
      <w:szCs w:val="20"/>
    </w:rPr>
  </w:style>
  <w:style w:type="paragraph" w:styleId="HTMLAddress">
    <w:name w:val="HTML Address"/>
    <w:basedOn w:val="Normal"/>
    <w:link w:val="HTMLAddressChar"/>
    <w:semiHidden/>
    <w:rsid w:val="005B51B1"/>
    <w:rPr>
      <w:i/>
      <w:iCs/>
    </w:rPr>
  </w:style>
  <w:style w:type="character" w:customStyle="1" w:styleId="HTMLAddressChar">
    <w:name w:val="HTML Address Char"/>
    <w:basedOn w:val="DefaultParagraphFont"/>
    <w:link w:val="HTMLAddress"/>
    <w:semiHidden/>
    <w:rsid w:val="005B51B1"/>
    <w:rPr>
      <w:rFonts w:ascii="Times New Roman" w:eastAsia="Times New Roman" w:hAnsi="Times New Roman" w:cs="Times New Roman"/>
      <w:i/>
      <w:iCs/>
      <w:sz w:val="24"/>
      <w:szCs w:val="20"/>
    </w:rPr>
  </w:style>
  <w:style w:type="paragraph" w:styleId="HTMLPreformatted">
    <w:name w:val="HTML Preformatted"/>
    <w:basedOn w:val="Normal"/>
    <w:link w:val="HTMLPreformattedChar"/>
    <w:semiHidden/>
    <w:rsid w:val="005B51B1"/>
    <w:rPr>
      <w:rFonts w:ascii="Courier New" w:hAnsi="Courier New" w:cs="Courier New"/>
      <w:sz w:val="20"/>
    </w:rPr>
  </w:style>
  <w:style w:type="character" w:customStyle="1" w:styleId="HTMLPreformattedChar">
    <w:name w:val="HTML Preformatted Char"/>
    <w:basedOn w:val="DefaultParagraphFont"/>
    <w:link w:val="HTMLPreformatted"/>
    <w:semiHidden/>
    <w:rsid w:val="005B51B1"/>
    <w:rPr>
      <w:rFonts w:ascii="Courier New" w:eastAsia="Times New Roman" w:hAnsi="Courier New" w:cs="Courier New"/>
      <w:sz w:val="20"/>
      <w:szCs w:val="20"/>
    </w:rPr>
  </w:style>
  <w:style w:type="paragraph" w:styleId="Index1">
    <w:name w:val="index 1"/>
    <w:basedOn w:val="Normal"/>
    <w:next w:val="Normal"/>
    <w:autoRedefine/>
    <w:semiHidden/>
    <w:rsid w:val="005B51B1"/>
    <w:pPr>
      <w:ind w:left="240" w:hanging="240"/>
    </w:pPr>
  </w:style>
  <w:style w:type="paragraph" w:styleId="Index2">
    <w:name w:val="index 2"/>
    <w:basedOn w:val="Normal"/>
    <w:next w:val="Normal"/>
    <w:autoRedefine/>
    <w:semiHidden/>
    <w:rsid w:val="005B51B1"/>
    <w:pPr>
      <w:ind w:left="480" w:hanging="240"/>
    </w:pPr>
  </w:style>
  <w:style w:type="paragraph" w:styleId="Index3">
    <w:name w:val="index 3"/>
    <w:basedOn w:val="Normal"/>
    <w:next w:val="Normal"/>
    <w:autoRedefine/>
    <w:semiHidden/>
    <w:rsid w:val="005B51B1"/>
    <w:pPr>
      <w:ind w:left="720" w:hanging="240"/>
    </w:pPr>
  </w:style>
  <w:style w:type="paragraph" w:styleId="Index4">
    <w:name w:val="index 4"/>
    <w:basedOn w:val="Normal"/>
    <w:next w:val="Normal"/>
    <w:autoRedefine/>
    <w:semiHidden/>
    <w:rsid w:val="005B51B1"/>
    <w:pPr>
      <w:ind w:left="960" w:hanging="240"/>
    </w:pPr>
  </w:style>
  <w:style w:type="paragraph" w:styleId="Index5">
    <w:name w:val="index 5"/>
    <w:basedOn w:val="Normal"/>
    <w:next w:val="Normal"/>
    <w:autoRedefine/>
    <w:semiHidden/>
    <w:rsid w:val="005B51B1"/>
    <w:pPr>
      <w:ind w:left="1200" w:hanging="240"/>
    </w:pPr>
  </w:style>
  <w:style w:type="paragraph" w:styleId="Index6">
    <w:name w:val="index 6"/>
    <w:basedOn w:val="Normal"/>
    <w:next w:val="Normal"/>
    <w:autoRedefine/>
    <w:semiHidden/>
    <w:rsid w:val="005B51B1"/>
    <w:pPr>
      <w:ind w:left="1440" w:hanging="240"/>
    </w:pPr>
  </w:style>
  <w:style w:type="paragraph" w:styleId="Index7">
    <w:name w:val="index 7"/>
    <w:basedOn w:val="Normal"/>
    <w:next w:val="Normal"/>
    <w:autoRedefine/>
    <w:semiHidden/>
    <w:rsid w:val="005B51B1"/>
    <w:pPr>
      <w:ind w:left="1680" w:hanging="240"/>
    </w:pPr>
  </w:style>
  <w:style w:type="paragraph" w:styleId="Index8">
    <w:name w:val="index 8"/>
    <w:basedOn w:val="Normal"/>
    <w:next w:val="Normal"/>
    <w:autoRedefine/>
    <w:semiHidden/>
    <w:rsid w:val="005B51B1"/>
    <w:pPr>
      <w:ind w:left="1920" w:hanging="240"/>
    </w:pPr>
  </w:style>
  <w:style w:type="paragraph" w:styleId="Index9">
    <w:name w:val="index 9"/>
    <w:basedOn w:val="Normal"/>
    <w:next w:val="Normal"/>
    <w:autoRedefine/>
    <w:semiHidden/>
    <w:rsid w:val="005B51B1"/>
    <w:pPr>
      <w:ind w:left="2160" w:hanging="240"/>
    </w:pPr>
  </w:style>
  <w:style w:type="paragraph" w:styleId="IndexHeading">
    <w:name w:val="index heading"/>
    <w:basedOn w:val="Normal"/>
    <w:next w:val="Index1"/>
    <w:semiHidden/>
    <w:rsid w:val="005B51B1"/>
    <w:rPr>
      <w:rFonts w:ascii="Cambria" w:hAnsi="Cambria"/>
      <w:b/>
      <w:bCs/>
    </w:rPr>
  </w:style>
  <w:style w:type="paragraph" w:styleId="IntenseQuote">
    <w:name w:val="Intense Quote"/>
    <w:basedOn w:val="Normal"/>
    <w:next w:val="Normal"/>
    <w:link w:val="IntenseQuoteChar"/>
    <w:uiPriority w:val="30"/>
    <w:qFormat/>
    <w:rsid w:val="005B51B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5B51B1"/>
    <w:rPr>
      <w:rFonts w:ascii="Times New Roman" w:eastAsia="Times New Roman" w:hAnsi="Times New Roman" w:cs="Times New Roman"/>
      <w:b/>
      <w:bCs/>
      <w:i/>
      <w:iCs/>
      <w:color w:val="4F81BD"/>
      <w:sz w:val="24"/>
      <w:szCs w:val="20"/>
    </w:rPr>
  </w:style>
  <w:style w:type="paragraph" w:styleId="List">
    <w:name w:val="List"/>
    <w:basedOn w:val="Normal"/>
    <w:semiHidden/>
    <w:rsid w:val="005B51B1"/>
    <w:pPr>
      <w:ind w:left="360" w:hanging="360"/>
      <w:contextualSpacing/>
    </w:pPr>
  </w:style>
  <w:style w:type="paragraph" w:styleId="List2">
    <w:name w:val="List 2"/>
    <w:basedOn w:val="Normal"/>
    <w:semiHidden/>
    <w:rsid w:val="005B51B1"/>
    <w:pPr>
      <w:ind w:left="720" w:hanging="360"/>
      <w:contextualSpacing/>
    </w:pPr>
  </w:style>
  <w:style w:type="paragraph" w:styleId="List3">
    <w:name w:val="List 3"/>
    <w:basedOn w:val="Normal"/>
    <w:semiHidden/>
    <w:rsid w:val="005B51B1"/>
    <w:pPr>
      <w:ind w:left="1080" w:hanging="360"/>
      <w:contextualSpacing/>
    </w:pPr>
  </w:style>
  <w:style w:type="paragraph" w:styleId="List4">
    <w:name w:val="List 4"/>
    <w:basedOn w:val="Normal"/>
    <w:semiHidden/>
    <w:rsid w:val="005B51B1"/>
    <w:pPr>
      <w:ind w:left="1440" w:hanging="360"/>
      <w:contextualSpacing/>
    </w:pPr>
  </w:style>
  <w:style w:type="paragraph" w:styleId="List5">
    <w:name w:val="List 5"/>
    <w:basedOn w:val="Normal"/>
    <w:semiHidden/>
    <w:rsid w:val="005B51B1"/>
    <w:pPr>
      <w:ind w:left="1800" w:hanging="360"/>
      <w:contextualSpacing/>
    </w:pPr>
  </w:style>
  <w:style w:type="paragraph" w:styleId="ListBullet">
    <w:name w:val="List Bullet"/>
    <w:basedOn w:val="Normal"/>
    <w:semiHidden/>
    <w:rsid w:val="005B51B1"/>
    <w:pPr>
      <w:numPr>
        <w:numId w:val="1"/>
      </w:numPr>
      <w:contextualSpacing/>
    </w:pPr>
  </w:style>
  <w:style w:type="paragraph" w:styleId="ListBullet2">
    <w:name w:val="List Bullet 2"/>
    <w:basedOn w:val="Normal"/>
    <w:semiHidden/>
    <w:rsid w:val="005B51B1"/>
    <w:pPr>
      <w:numPr>
        <w:numId w:val="2"/>
      </w:numPr>
      <w:contextualSpacing/>
    </w:pPr>
  </w:style>
  <w:style w:type="paragraph" w:styleId="ListBullet3">
    <w:name w:val="List Bullet 3"/>
    <w:basedOn w:val="Normal"/>
    <w:semiHidden/>
    <w:rsid w:val="005B51B1"/>
    <w:pPr>
      <w:numPr>
        <w:numId w:val="3"/>
      </w:numPr>
      <w:contextualSpacing/>
    </w:pPr>
  </w:style>
  <w:style w:type="paragraph" w:styleId="ListBullet4">
    <w:name w:val="List Bullet 4"/>
    <w:basedOn w:val="Normal"/>
    <w:semiHidden/>
    <w:rsid w:val="005B51B1"/>
    <w:pPr>
      <w:numPr>
        <w:numId w:val="4"/>
      </w:numPr>
      <w:contextualSpacing/>
    </w:pPr>
  </w:style>
  <w:style w:type="paragraph" w:styleId="ListBullet5">
    <w:name w:val="List Bullet 5"/>
    <w:basedOn w:val="Normal"/>
    <w:semiHidden/>
    <w:rsid w:val="005B51B1"/>
    <w:pPr>
      <w:numPr>
        <w:numId w:val="5"/>
      </w:numPr>
      <w:contextualSpacing/>
    </w:pPr>
  </w:style>
  <w:style w:type="paragraph" w:styleId="ListContinue">
    <w:name w:val="List Continue"/>
    <w:basedOn w:val="Normal"/>
    <w:semiHidden/>
    <w:rsid w:val="005B51B1"/>
    <w:pPr>
      <w:spacing w:after="120"/>
      <w:ind w:left="360"/>
      <w:contextualSpacing/>
    </w:pPr>
  </w:style>
  <w:style w:type="paragraph" w:styleId="ListContinue2">
    <w:name w:val="List Continue 2"/>
    <w:basedOn w:val="Normal"/>
    <w:semiHidden/>
    <w:rsid w:val="005B51B1"/>
    <w:pPr>
      <w:spacing w:after="120"/>
      <w:ind w:left="720"/>
      <w:contextualSpacing/>
    </w:pPr>
  </w:style>
  <w:style w:type="paragraph" w:styleId="ListContinue3">
    <w:name w:val="List Continue 3"/>
    <w:basedOn w:val="Normal"/>
    <w:semiHidden/>
    <w:rsid w:val="005B51B1"/>
    <w:pPr>
      <w:spacing w:after="120"/>
      <w:ind w:left="1080"/>
      <w:contextualSpacing/>
    </w:pPr>
  </w:style>
  <w:style w:type="paragraph" w:styleId="ListContinue4">
    <w:name w:val="List Continue 4"/>
    <w:basedOn w:val="Normal"/>
    <w:semiHidden/>
    <w:rsid w:val="005B51B1"/>
    <w:pPr>
      <w:spacing w:after="120"/>
      <w:ind w:left="1440"/>
      <w:contextualSpacing/>
    </w:pPr>
  </w:style>
  <w:style w:type="paragraph" w:styleId="ListContinue5">
    <w:name w:val="List Continue 5"/>
    <w:basedOn w:val="Normal"/>
    <w:semiHidden/>
    <w:rsid w:val="005B51B1"/>
    <w:pPr>
      <w:spacing w:after="120"/>
      <w:ind w:left="1800"/>
      <w:contextualSpacing/>
    </w:pPr>
  </w:style>
  <w:style w:type="paragraph" w:styleId="ListNumber">
    <w:name w:val="List Number"/>
    <w:basedOn w:val="Normal"/>
    <w:semiHidden/>
    <w:rsid w:val="005B51B1"/>
    <w:pPr>
      <w:numPr>
        <w:numId w:val="6"/>
      </w:numPr>
      <w:contextualSpacing/>
    </w:pPr>
  </w:style>
  <w:style w:type="paragraph" w:styleId="ListNumber2">
    <w:name w:val="List Number 2"/>
    <w:basedOn w:val="Normal"/>
    <w:semiHidden/>
    <w:rsid w:val="005B51B1"/>
    <w:pPr>
      <w:numPr>
        <w:numId w:val="7"/>
      </w:numPr>
      <w:contextualSpacing/>
    </w:pPr>
  </w:style>
  <w:style w:type="paragraph" w:styleId="ListNumber3">
    <w:name w:val="List Number 3"/>
    <w:basedOn w:val="Normal"/>
    <w:semiHidden/>
    <w:rsid w:val="005B51B1"/>
    <w:pPr>
      <w:numPr>
        <w:numId w:val="8"/>
      </w:numPr>
      <w:contextualSpacing/>
    </w:pPr>
  </w:style>
  <w:style w:type="paragraph" w:styleId="ListNumber4">
    <w:name w:val="List Number 4"/>
    <w:basedOn w:val="Normal"/>
    <w:semiHidden/>
    <w:rsid w:val="005B51B1"/>
    <w:pPr>
      <w:numPr>
        <w:numId w:val="9"/>
      </w:numPr>
      <w:contextualSpacing/>
    </w:pPr>
  </w:style>
  <w:style w:type="paragraph" w:styleId="ListNumber5">
    <w:name w:val="List Number 5"/>
    <w:basedOn w:val="Normal"/>
    <w:semiHidden/>
    <w:rsid w:val="005B51B1"/>
    <w:pPr>
      <w:numPr>
        <w:numId w:val="10"/>
      </w:numPr>
      <w:contextualSpacing/>
    </w:pPr>
  </w:style>
  <w:style w:type="paragraph" w:styleId="ListParagraph">
    <w:name w:val="List Paragraph"/>
    <w:basedOn w:val="Normal"/>
    <w:uiPriority w:val="34"/>
    <w:qFormat/>
    <w:rsid w:val="005B51B1"/>
    <w:pPr>
      <w:ind w:left="720"/>
    </w:pPr>
  </w:style>
  <w:style w:type="paragraph" w:styleId="MacroText">
    <w:name w:val="macro"/>
    <w:link w:val="MacroTextChar"/>
    <w:semiHidden/>
    <w:rsid w:val="005B51B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5B51B1"/>
    <w:rPr>
      <w:rFonts w:ascii="Courier New" w:eastAsia="Times New Roman" w:hAnsi="Courier New" w:cs="Courier New"/>
      <w:sz w:val="20"/>
      <w:szCs w:val="20"/>
    </w:rPr>
  </w:style>
  <w:style w:type="paragraph" w:styleId="MessageHeader">
    <w:name w:val="Message Header"/>
    <w:basedOn w:val="Normal"/>
    <w:link w:val="MessageHeaderChar"/>
    <w:semiHidden/>
    <w:rsid w:val="005B51B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5B51B1"/>
    <w:rPr>
      <w:rFonts w:ascii="Cambria" w:eastAsia="Times New Roman" w:hAnsi="Cambria" w:cs="Times New Roman"/>
      <w:sz w:val="24"/>
      <w:szCs w:val="24"/>
      <w:shd w:val="pct20" w:color="auto" w:fill="auto"/>
    </w:rPr>
  </w:style>
  <w:style w:type="paragraph" w:styleId="NoSpacing">
    <w:name w:val="No Spacing"/>
    <w:uiPriority w:val="1"/>
    <w:qFormat/>
    <w:rsid w:val="005B51B1"/>
    <w:pPr>
      <w:spacing w:after="0" w:line="240" w:lineRule="auto"/>
    </w:pPr>
    <w:rPr>
      <w:rFonts w:ascii="Times New Roman" w:eastAsia="Times New Roman" w:hAnsi="Times New Roman" w:cs="Times New Roman"/>
      <w:sz w:val="24"/>
      <w:szCs w:val="20"/>
    </w:rPr>
  </w:style>
  <w:style w:type="paragraph" w:styleId="NormalWeb">
    <w:name w:val="Normal (Web)"/>
    <w:basedOn w:val="Normal"/>
    <w:semiHidden/>
    <w:rsid w:val="005B51B1"/>
    <w:rPr>
      <w:szCs w:val="24"/>
    </w:rPr>
  </w:style>
  <w:style w:type="paragraph" w:styleId="NormalIndent">
    <w:name w:val="Normal Indent"/>
    <w:basedOn w:val="Normal"/>
    <w:semiHidden/>
    <w:rsid w:val="005B51B1"/>
    <w:pPr>
      <w:ind w:left="720"/>
    </w:pPr>
  </w:style>
  <w:style w:type="paragraph" w:styleId="NoteHeading">
    <w:name w:val="Note Heading"/>
    <w:basedOn w:val="Normal"/>
    <w:next w:val="Normal"/>
    <w:link w:val="NoteHeadingChar"/>
    <w:semiHidden/>
    <w:rsid w:val="005B51B1"/>
  </w:style>
  <w:style w:type="character" w:customStyle="1" w:styleId="NoteHeadingChar">
    <w:name w:val="Note Heading Char"/>
    <w:basedOn w:val="DefaultParagraphFont"/>
    <w:link w:val="NoteHeading"/>
    <w:semiHidden/>
    <w:rsid w:val="005B51B1"/>
    <w:rPr>
      <w:rFonts w:ascii="Times New Roman" w:eastAsia="Times New Roman" w:hAnsi="Times New Roman" w:cs="Times New Roman"/>
      <w:sz w:val="24"/>
      <w:szCs w:val="20"/>
    </w:rPr>
  </w:style>
  <w:style w:type="paragraph" w:styleId="PlainText">
    <w:name w:val="Plain Text"/>
    <w:basedOn w:val="Normal"/>
    <w:link w:val="PlainTextChar"/>
    <w:semiHidden/>
    <w:rsid w:val="005B51B1"/>
    <w:rPr>
      <w:rFonts w:ascii="Courier New" w:hAnsi="Courier New" w:cs="Courier New"/>
      <w:sz w:val="20"/>
    </w:rPr>
  </w:style>
  <w:style w:type="character" w:customStyle="1" w:styleId="PlainTextChar">
    <w:name w:val="Plain Text Char"/>
    <w:basedOn w:val="DefaultParagraphFont"/>
    <w:link w:val="PlainText"/>
    <w:semiHidden/>
    <w:rsid w:val="005B51B1"/>
    <w:rPr>
      <w:rFonts w:ascii="Courier New" w:eastAsia="Times New Roman" w:hAnsi="Courier New" w:cs="Courier New"/>
      <w:sz w:val="20"/>
      <w:szCs w:val="20"/>
    </w:rPr>
  </w:style>
  <w:style w:type="paragraph" w:styleId="Quote">
    <w:name w:val="Quote"/>
    <w:basedOn w:val="Normal"/>
    <w:next w:val="Normal"/>
    <w:link w:val="QuoteChar"/>
    <w:uiPriority w:val="29"/>
    <w:qFormat/>
    <w:rsid w:val="005B51B1"/>
    <w:rPr>
      <w:i/>
      <w:iCs/>
      <w:color w:val="000000"/>
    </w:rPr>
  </w:style>
  <w:style w:type="character" w:customStyle="1" w:styleId="QuoteChar">
    <w:name w:val="Quote Char"/>
    <w:basedOn w:val="DefaultParagraphFont"/>
    <w:link w:val="Quote"/>
    <w:uiPriority w:val="29"/>
    <w:rsid w:val="005B51B1"/>
    <w:rPr>
      <w:rFonts w:ascii="Times New Roman" w:eastAsia="Times New Roman" w:hAnsi="Times New Roman" w:cs="Times New Roman"/>
      <w:i/>
      <w:iCs/>
      <w:color w:val="000000"/>
      <w:sz w:val="24"/>
      <w:szCs w:val="20"/>
    </w:rPr>
  </w:style>
  <w:style w:type="paragraph" w:styleId="Salutation">
    <w:name w:val="Salutation"/>
    <w:basedOn w:val="Normal"/>
    <w:next w:val="Normal"/>
    <w:link w:val="SalutationChar"/>
    <w:semiHidden/>
    <w:rsid w:val="005B51B1"/>
  </w:style>
  <w:style w:type="character" w:customStyle="1" w:styleId="SalutationChar">
    <w:name w:val="Salutation Char"/>
    <w:basedOn w:val="DefaultParagraphFont"/>
    <w:link w:val="Salutation"/>
    <w:semiHidden/>
    <w:rsid w:val="005B51B1"/>
    <w:rPr>
      <w:rFonts w:ascii="Times New Roman" w:eastAsia="Times New Roman" w:hAnsi="Times New Roman" w:cs="Times New Roman"/>
      <w:sz w:val="24"/>
      <w:szCs w:val="20"/>
    </w:rPr>
  </w:style>
  <w:style w:type="paragraph" w:styleId="Signature">
    <w:name w:val="Signature"/>
    <w:basedOn w:val="Normal"/>
    <w:link w:val="SignatureChar"/>
    <w:semiHidden/>
    <w:rsid w:val="005B51B1"/>
    <w:pPr>
      <w:ind w:left="4320"/>
    </w:pPr>
  </w:style>
  <w:style w:type="character" w:customStyle="1" w:styleId="SignatureChar">
    <w:name w:val="Signature Char"/>
    <w:basedOn w:val="DefaultParagraphFont"/>
    <w:link w:val="Signature"/>
    <w:semiHidden/>
    <w:rsid w:val="005B51B1"/>
    <w:rPr>
      <w:rFonts w:ascii="Times New Roman" w:eastAsia="Times New Roman" w:hAnsi="Times New Roman" w:cs="Times New Roman"/>
      <w:sz w:val="24"/>
      <w:szCs w:val="20"/>
    </w:rPr>
  </w:style>
  <w:style w:type="paragraph" w:styleId="Subtitle">
    <w:name w:val="Subtitle"/>
    <w:basedOn w:val="Normal"/>
    <w:next w:val="Normal"/>
    <w:link w:val="SubtitleChar"/>
    <w:qFormat/>
    <w:rsid w:val="005B51B1"/>
    <w:pPr>
      <w:spacing w:after="60"/>
      <w:jc w:val="center"/>
      <w:outlineLvl w:val="1"/>
    </w:pPr>
    <w:rPr>
      <w:rFonts w:ascii="Cambria" w:hAnsi="Cambria"/>
      <w:szCs w:val="24"/>
    </w:rPr>
  </w:style>
  <w:style w:type="character" w:customStyle="1" w:styleId="SubtitleChar">
    <w:name w:val="Subtitle Char"/>
    <w:basedOn w:val="DefaultParagraphFont"/>
    <w:link w:val="Subtitle"/>
    <w:rsid w:val="005B51B1"/>
    <w:rPr>
      <w:rFonts w:ascii="Cambria" w:eastAsia="Times New Roman" w:hAnsi="Cambria" w:cs="Times New Roman"/>
      <w:sz w:val="24"/>
      <w:szCs w:val="24"/>
    </w:rPr>
  </w:style>
  <w:style w:type="paragraph" w:styleId="TableofAuthorities">
    <w:name w:val="table of authorities"/>
    <w:basedOn w:val="Normal"/>
    <w:next w:val="Normal"/>
    <w:semiHidden/>
    <w:rsid w:val="005B51B1"/>
    <w:pPr>
      <w:ind w:left="240" w:hanging="240"/>
    </w:pPr>
  </w:style>
  <w:style w:type="paragraph" w:styleId="TableofFigures">
    <w:name w:val="table of figures"/>
    <w:basedOn w:val="Normal"/>
    <w:next w:val="Normal"/>
    <w:semiHidden/>
    <w:rsid w:val="005B51B1"/>
  </w:style>
  <w:style w:type="paragraph" w:styleId="Title">
    <w:name w:val="Title"/>
    <w:basedOn w:val="Normal"/>
    <w:next w:val="Normal"/>
    <w:link w:val="TitleChar"/>
    <w:qFormat/>
    <w:rsid w:val="005B51B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5B51B1"/>
    <w:rPr>
      <w:rFonts w:ascii="Cambria" w:eastAsia="Times New Roman" w:hAnsi="Cambria" w:cs="Times New Roman"/>
      <w:b/>
      <w:bCs/>
      <w:kern w:val="28"/>
      <w:sz w:val="32"/>
      <w:szCs w:val="32"/>
    </w:rPr>
  </w:style>
  <w:style w:type="paragraph" w:styleId="TOAHeading">
    <w:name w:val="toa heading"/>
    <w:basedOn w:val="Normal"/>
    <w:next w:val="Normal"/>
    <w:semiHidden/>
    <w:rsid w:val="005B51B1"/>
    <w:pPr>
      <w:spacing w:before="120"/>
    </w:pPr>
    <w:rPr>
      <w:rFonts w:ascii="Cambria" w:hAnsi="Cambria"/>
      <w:b/>
      <w:bCs/>
      <w:szCs w:val="24"/>
    </w:rPr>
  </w:style>
  <w:style w:type="paragraph" w:styleId="TOC1">
    <w:name w:val="toc 1"/>
    <w:basedOn w:val="Normal"/>
    <w:next w:val="Normal"/>
    <w:autoRedefine/>
    <w:semiHidden/>
    <w:rsid w:val="005B51B1"/>
  </w:style>
  <w:style w:type="paragraph" w:styleId="TOC2">
    <w:name w:val="toc 2"/>
    <w:basedOn w:val="Normal"/>
    <w:next w:val="Normal"/>
    <w:autoRedefine/>
    <w:semiHidden/>
    <w:rsid w:val="005B51B1"/>
    <w:pPr>
      <w:ind w:left="240"/>
    </w:pPr>
  </w:style>
  <w:style w:type="paragraph" w:styleId="TOC3">
    <w:name w:val="toc 3"/>
    <w:basedOn w:val="Normal"/>
    <w:next w:val="Normal"/>
    <w:autoRedefine/>
    <w:semiHidden/>
    <w:rsid w:val="005B51B1"/>
    <w:pPr>
      <w:ind w:left="480"/>
    </w:pPr>
  </w:style>
  <w:style w:type="paragraph" w:styleId="TOC4">
    <w:name w:val="toc 4"/>
    <w:basedOn w:val="Normal"/>
    <w:next w:val="Normal"/>
    <w:autoRedefine/>
    <w:semiHidden/>
    <w:rsid w:val="005B51B1"/>
    <w:pPr>
      <w:ind w:left="720"/>
    </w:pPr>
  </w:style>
  <w:style w:type="paragraph" w:styleId="TOC5">
    <w:name w:val="toc 5"/>
    <w:basedOn w:val="Normal"/>
    <w:next w:val="Normal"/>
    <w:autoRedefine/>
    <w:semiHidden/>
    <w:rsid w:val="005B51B1"/>
    <w:pPr>
      <w:ind w:left="960"/>
    </w:pPr>
  </w:style>
  <w:style w:type="paragraph" w:styleId="TOC6">
    <w:name w:val="toc 6"/>
    <w:basedOn w:val="Normal"/>
    <w:next w:val="Normal"/>
    <w:autoRedefine/>
    <w:semiHidden/>
    <w:rsid w:val="005B51B1"/>
    <w:pPr>
      <w:ind w:left="1200"/>
    </w:pPr>
  </w:style>
  <w:style w:type="paragraph" w:styleId="TOC7">
    <w:name w:val="toc 7"/>
    <w:basedOn w:val="Normal"/>
    <w:next w:val="Normal"/>
    <w:autoRedefine/>
    <w:semiHidden/>
    <w:rsid w:val="005B51B1"/>
    <w:pPr>
      <w:ind w:left="1440"/>
    </w:pPr>
  </w:style>
  <w:style w:type="paragraph" w:styleId="TOC8">
    <w:name w:val="toc 8"/>
    <w:basedOn w:val="Normal"/>
    <w:next w:val="Normal"/>
    <w:autoRedefine/>
    <w:semiHidden/>
    <w:rsid w:val="005B51B1"/>
    <w:pPr>
      <w:ind w:left="1680"/>
    </w:pPr>
  </w:style>
  <w:style w:type="paragraph" w:styleId="TOC9">
    <w:name w:val="toc 9"/>
    <w:basedOn w:val="Normal"/>
    <w:next w:val="Normal"/>
    <w:autoRedefine/>
    <w:semiHidden/>
    <w:rsid w:val="005B51B1"/>
    <w:pPr>
      <w:ind w:left="1920"/>
    </w:pPr>
  </w:style>
  <w:style w:type="paragraph" w:styleId="TOCHeading">
    <w:name w:val="TOC Heading"/>
    <w:basedOn w:val="Heading1"/>
    <w:next w:val="Normal"/>
    <w:uiPriority w:val="39"/>
    <w:semiHidden/>
    <w:unhideWhenUsed/>
    <w:qFormat/>
    <w:rsid w:val="005B51B1"/>
    <w:pPr>
      <w:outlineLvl w:val="9"/>
    </w:pPr>
    <w:rPr>
      <w:rFonts w:ascii="Cambria" w:hAnsi="Cambria"/>
      <w:sz w:val="32"/>
      <w:szCs w:val="32"/>
    </w:rPr>
  </w:style>
  <w:style w:type="character" w:styleId="Hyperlink">
    <w:name w:val="Hyperlink"/>
    <w:semiHidden/>
    <w:rsid w:val="005B51B1"/>
    <w:rPr>
      <w:color w:val="0000FF"/>
      <w:u w:val="single"/>
    </w:rPr>
  </w:style>
  <w:style w:type="table" w:styleId="TableGrid">
    <w:name w:val="Table Grid"/>
    <w:basedOn w:val="TableNormal"/>
    <w:uiPriority w:val="39"/>
    <w:rsid w:val="005B51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
    <w:name w:val="Legend"/>
    <w:basedOn w:val="Normal"/>
    <w:rsid w:val="005B51B1"/>
    <w:pPr>
      <w:keepNext/>
      <w:spacing w:before="240"/>
      <w:outlineLvl w:val="0"/>
    </w:pPr>
    <w:rPr>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14040</Words>
  <Characters>80030</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dc:creator>
  <cp:keywords/>
  <dc:description/>
  <cp:lastModifiedBy>Andrew Du</cp:lastModifiedBy>
  <cp:revision>2</cp:revision>
  <cp:lastPrinted>2017-04-11T19:34:00Z</cp:lastPrinted>
  <dcterms:created xsi:type="dcterms:W3CDTF">2018-01-18T21:44:00Z</dcterms:created>
  <dcterms:modified xsi:type="dcterms:W3CDTF">2018-01-18T21:44:00Z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id="1p6Ts21B"/&gt;&lt;style id="http://www.zotero.org/styles/proceedings-of-the-royal-society-b" hasBibliography="1" bibliographyStyleHasBeenSet="1"/&gt;&lt;prefs&gt;&lt;pref name="fieldType" value="Field"/&gt;&lt;pref n</vt:lpwstr>
  </property>
  <property fmtid="{D5CDD505-2E9C-101B-9397-08002B2CF9AE}" pid="3" name="ZOTERO_PREF_2">
    <vt:lpwstr>ame="storeReferences" value="true"/&gt;&lt;pref name="automaticJournalAbbreviations" value="true"/&gt;&lt;pref name="noteType" value=""/&gt;&lt;/prefs&gt;&lt;/data&gt;</vt:lpwstr>
  </property>
</Properties>
</file>