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i w:val="false"/>
          <w:iCs w:val="false"/>
        </w:rPr>
      </w:pPr>
      <w:r>
        <w:rPr/>
        <w:t>These data are used in “Genetic origin, admixture and population history of aurochs (</w:t>
      </w:r>
      <w:r>
        <w:rPr>
          <w:i/>
          <w:iCs/>
        </w:rPr>
        <w:t>Bos primigenius)</w:t>
      </w:r>
      <w:r>
        <w:rPr>
          <w:i w:val="false"/>
          <w:iCs w:val="false"/>
        </w:rPr>
        <w:t xml:space="preserve"> and primitive European cattle” by Upadhyay et al. 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 xml:space="preserve">Primitive_cattle.ped contains genotypes information of 143 samples in Plink ped format. 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 xml:space="preserve">Primitive_cattle.map contains SNP information in map format. 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 xml:space="preserve">Aurochs.770k.vcf contains genotypes information of aurochs sample in vcf format. 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 xml:space="preserve">Sample_information.txt conains sample information which include breed name, breed code, origin of breed and sample size per breed.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2016-08-03T12:23:14Z</dcterms:created>
  <dc:language>en-US</dc:language>
  <cp:revision>0</cp:revision>
</cp:coreProperties>
</file>