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986C1" w14:textId="7E571F1A" w:rsidR="00BF6683" w:rsidRDefault="00A07E38">
      <w:pPr>
        <w:rPr>
          <w:rFonts w:ascii="Times New Roman" w:hAnsi="Times New Roman" w:cs="Times New Roman"/>
          <w:b/>
        </w:rPr>
      </w:pPr>
      <w:r>
        <w:rPr>
          <w:rFonts w:ascii="Times New Roman" w:hAnsi="Times New Roman" w:cs="Times New Roman"/>
          <w:b/>
        </w:rPr>
        <w:t>APPENDIX E-1</w:t>
      </w:r>
      <w:r w:rsidR="00E8475D">
        <w:rPr>
          <w:rFonts w:ascii="Times New Roman" w:hAnsi="Times New Roman" w:cs="Times New Roman"/>
          <w:b/>
        </w:rPr>
        <w:t>-</w:t>
      </w:r>
      <w:bookmarkStart w:id="0" w:name="_GoBack"/>
      <w:bookmarkEnd w:id="0"/>
      <w:r w:rsidR="00A91DF0">
        <w:rPr>
          <w:rFonts w:ascii="Times New Roman" w:hAnsi="Times New Roman" w:cs="Times New Roman"/>
          <w:b/>
        </w:rPr>
        <w:t>Aicardi Criteria</w:t>
      </w:r>
    </w:p>
    <w:p w14:paraId="3B4D82C2" w14:textId="77777777" w:rsidR="001038BA" w:rsidRPr="00A07E38" w:rsidRDefault="001038BA">
      <w:pPr>
        <w:rPr>
          <w:rFonts w:ascii="Times New Roman" w:hAnsi="Times New Roman" w:cs="Times New Roman"/>
          <w:b/>
        </w:rPr>
      </w:pPr>
    </w:p>
    <w:p w14:paraId="6D935D52" w14:textId="259A033F" w:rsidR="00A07E38" w:rsidRPr="00A07E38" w:rsidRDefault="00A07E38" w:rsidP="001038BA">
      <w:pPr>
        <w:spacing w:after="200"/>
        <w:rPr>
          <w:rFonts w:ascii="Times New Roman" w:hAnsi="Times New Roman" w:cs="Times New Roman"/>
          <w:color w:val="000000" w:themeColor="text1"/>
        </w:rPr>
      </w:pPr>
      <w:r w:rsidRPr="00A07E38">
        <w:rPr>
          <w:rFonts w:ascii="Times New Roman" w:hAnsi="Times New Roman" w:cs="Times New Roman"/>
          <w:color w:val="000000" w:themeColor="text1"/>
        </w:rPr>
        <w:t xml:space="preserve">The Aicardi criteria, used as the inclusion criteria of patients in this study, are </w:t>
      </w:r>
      <w:r w:rsidR="009A438F">
        <w:rPr>
          <w:rFonts w:ascii="Times New Roman" w:hAnsi="Times New Roman" w:cs="Times New Roman"/>
          <w:color w:val="000000" w:themeColor="text1"/>
        </w:rPr>
        <w:t xml:space="preserve">those used previously in the literature and are </w:t>
      </w:r>
      <w:r w:rsidRPr="00A07E38">
        <w:rPr>
          <w:rFonts w:ascii="Times New Roman" w:hAnsi="Times New Roman" w:cs="Times New Roman"/>
          <w:color w:val="000000" w:themeColor="text1"/>
        </w:rPr>
        <w:t>the following</w:t>
      </w:r>
      <w:r w:rsidR="00C305DD" w:rsidRPr="00F462F7">
        <w:rPr>
          <w:rFonts w:ascii="Times New Roman" w:hAnsi="Times New Roman"/>
        </w:rPr>
        <w:fldChar w:fldCharType="begin"/>
      </w:r>
      <w:r w:rsidR="00C305DD">
        <w:rPr>
          <w:rFonts w:ascii="Times New Roman" w:hAnsi="Times New Roman"/>
        </w:rPr>
        <w:instrText xml:space="preserve"> ADDIN ZOTERO_ITEM CSL_CITATION {"citationID":"x6PUTv9b","properties":{"formattedCitation":"\\super 1,3,6,7\\nosupersub{}","plainCitation":"1,3,6,7","noteIndex":0},"citationItems":[{"id":"YHvs9uAQ/xVhd3Rcw","uris":["http://zotero.org/users/2922663/items/XPVTUQ6Q"],"uri":["http://zotero.org/users/2922663/items/XPVTUQ6Q"],"itemData":{"id":497,"type":"article-journal","title":"Distinct neurological disorders with ATP1A3 mutations","container-title":"The Lancet Neurology","page":"503-514","volume":"13","issue":"5","source":"CrossRef","DOI":"10.1016/S1474-4422(14)70011-0","ISSN":"14744422","language":"en","author":[{"family":"Heinzen","given":"Erin L"},{"family":"Arzimanoglou","given":"Alexis"},{"family":"Brashear","given":"Allison"},{"family":"Clapcote","given":"Steven J"},{"family":"Gurrieri","given":"Fiorella"},{"family":"Goldstein","given":"David B"},{"family":"Jóhannesson","given":"Sigurður H"},{"family":"Mikati","given":"Mohamad A"},{"family":"Neville","given":"Brian"},{"family":"Nicole","given":"Sophie"},{"family":"Ozelius","given":"Laurie J"},{"family":"Poulsen","given":"Hanne"},{"family":"Schyns","given":"Tsveta"},{"family":"Sweadner","given":"Kathleen J"},{"family":"Maagdenberg","given":"Arn","non-dropping-particle":"van den"},{"family":"Vilsen","given":"Bente"}],"issued":{"date-parts":[["2014",5]]}}},{"id":495,"uris":["http://zotero.org/users/2922663/items/3FDEBZM5"],"uri":["http://zotero.org/users/2922663/items/3FDEBZM5"],"itemData":{"id":495,"type":"article-journal","title":"Alternating hemiplegia of childhood","container-title":"Handbook of Clinical Neurology","page":"821-826","volume":"112","source":"PubMed","abstract":"Alternating hemiplegia of childhood (AHC) is a very rare disease characterized by recurrent attacks of loss of muscular tone resulting in hypomobility of one side of the body. The etiology of the disease due to ATP1A3 gene mutations in the majority of patients. Few familial cases have been described. AHC has an onset in the first few months of life. Hemiplegic episodes are often accompanied by other paroxysmal manifestations, such as lateral eyes and head deviation toward the hemiplegic side and a very peculiar monocular nystagmus. As the attack progresses, hemiplegia can shift to the other side of the body. Sometimes the attack can provoke bilateral paralysis, and these patients may have severe clinical impairment, with difficulty in swallowing and breathing. Hemiplegic attacks may be triggered by different stimuli, like bath in warm water, motor activity, or emotion. The frequency of attacks is high, usually several in a month or in a week. The duration is variable from a few minutes to several hours or even days. Sleep can stop the attack. Movement disorders such as dystonia and abnormal movements are frequent. Cognitive delay of variable degree is a common feature. Epilepsy has been reported in 50% of the cases, but seizure onset is usually during the third or fourth year of life. Many drugs have been used in AHC with very few results. Flunarizine has the most supportive anecdotal evidence regarding efficacy.","ISSN":"0072-9752","note":"PMID: 23622289","journalAbbreviation":"Handb Clin Neurol","language":"eng","author":[{"family":"Kansagra","given":"Sujay"},{"family":"Mikati","given":"Mohamad A."},{"family":"Vigevano","given":"Federico"}],"issued":{"date-parts":[["2013"]]}}},{"id":1111,"uris":["http://zotero.org/users/2922663/items/DKA5SW54"],"uri":["http://zotero.org/users/2922663/items/DKA5SW54"],"itemData":{"id":1111,"type":"article-journal","title":"Diagnosis and Treatment of Alternating Hemiplegia of Childhood","container-title":"Current Treatment Options in Neurology","page":"8","volume":"19","issue":"2","source":"PubMed","abstract":"OPINION STATEMENT: The diagnosis and treatment of patients with Alternating Hemiplegia of Childhood (AHC) and related disorders should be provided by a multidisciplinary team experienced with the spectrum of presentations of this disease, with its related disorders, with its complex and fluctuating manifestations, and with cutting edge advances occurring in the field. Involvement in research to advance the understanding of this disease and partnership with international collaborators and family organizations are also important. An example of such an approach is that of The Duke AHC and Related Disorders Multi-Disciplinary Clinic and Program, which, in partnership with the Cure AHC Foundation, has developed and applied this approach to patients seen since early 2013. The program provides comprehensive care and education directly to AHC patients and their families and collaborates with referring physicians on the care of patients with AHC whether evaluated at Duke clinics or not. It also is involved in clinical and basic research and in collaborations with other International AHC Research Consortium (IAHCRC) partners. The clinic is staffed with physicians and experts from Neurology, Cardiology, Child Behavioral Health, Medical Genetics, Neurodevelopment, Neuropsychology, Nursing, Physical and Occupational Therapies, Psychiatry, Sleep Medicine, and Speech/Language Pathology. Patients are seen either for full comprehensive evaluations that last several days or for targeted evaluations with one or few appointments.","ISSN":"1092-8480","note":"PMID: 28337648","journalAbbreviation":"Curr Treat Options Neurol","language":"eng","author":[{"family":"Masoud","given":"Melanie"},{"family":"Prange","given":"Lyndsey"},{"family":"Wuchich","given":"Jeffrey"},{"family":"Hunanyan","given":"Arsen"},{"family":"Mikati","given":"Mohamad A."}],"issued":{"date-parts":[["2017",2]]}}},{"id":1113,"uris":["http://zotero.org/users/2922663/items/8J2TENQT"],"uri":["http://zotero.org/users/2922663/items/8J2TENQT"],"itemData":{"id":1113,"type":"article-journal","title":"Motor Function Domains in Alternating Hemiplegia of Childhood","container-title":"Developmental Medicine and Child Neurology","author":[{"family":"Masoud","given":"M"},{"family":"Gordon","given":"K"},{"family":"Hall","given":"A"},{"family":"Jaisen","given":"J"},{"family":"Lardinois","given":"K"},{"family":"Uchitel","given":"J"},{"family":"McLean","given":"M"},{"family":"Pragne","given":"L"},{"family":"Wuchich","given":"J"},{"family":"Mikati","given":"M"}],"issued":{"date-parts":[["2017"]]}}}],"schema":"https://github.com/citation-style-language/schema/raw/master/csl-citation.json"} </w:instrText>
      </w:r>
      <w:r w:rsidR="00C305DD" w:rsidRPr="00F462F7">
        <w:rPr>
          <w:rFonts w:ascii="Times New Roman" w:hAnsi="Times New Roman"/>
        </w:rPr>
        <w:fldChar w:fldCharType="separate"/>
      </w:r>
      <w:r w:rsidR="00C305DD" w:rsidRPr="00F462F7">
        <w:rPr>
          <w:rFonts w:ascii="Times New Roman" w:hAnsi="Times New Roman"/>
          <w:vertAlign w:val="superscript"/>
        </w:rPr>
        <w:t>1,3,6,7</w:t>
      </w:r>
      <w:r w:rsidR="00C305DD" w:rsidRPr="00F462F7">
        <w:rPr>
          <w:rFonts w:ascii="Times New Roman" w:hAnsi="Times New Roman"/>
        </w:rPr>
        <w:fldChar w:fldCharType="end"/>
      </w:r>
      <w:r w:rsidR="009A438F">
        <w:rPr>
          <w:rFonts w:ascii="Times New Roman" w:hAnsi="Times New Roman" w:cs="Times New Roman"/>
          <w:color w:val="000000" w:themeColor="text1"/>
        </w:rPr>
        <w:t>.</w:t>
      </w:r>
      <w:r w:rsidRPr="00A07E38">
        <w:rPr>
          <w:rFonts w:ascii="Times New Roman" w:hAnsi="Times New Roman" w:cs="Times New Roman"/>
          <w:color w:val="000000" w:themeColor="text1"/>
        </w:rPr>
        <w:t xml:space="preserve"> (1) paroxysmal episodes of hemiplegia; (2) episodes of bilateral hemiplegia, or quadriplegia; (3) other paroxysmal manifestations such as abnormal eye movements, nystagmus, strabismus, ataxia, dystonia, choreoathetosis, tonic spells, or autonomic disturbance which can occur during hemiplegia or as isolated events; (4) evidence of permanent neurologic dysfunction which can manifest as mental retardation, developmental delay, and/or persistent motor deficits such as spastic diplegia/quadriplegia, hypotonia, ataxia choreoathetosis or dystonia; (5) sleep during a paroxysmal attack relieves symptoms, although attacks may resume soon after awakening; (6) the first signs of dysfunction occur prior to the age of 18 months.</w:t>
      </w:r>
    </w:p>
    <w:p w14:paraId="4970105E" w14:textId="77777777" w:rsidR="00A07E38" w:rsidRDefault="00A07E38"/>
    <w:sectPr w:rsidR="00A07E38" w:rsidSect="006E0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E38"/>
    <w:rsid w:val="001038BA"/>
    <w:rsid w:val="003B2D20"/>
    <w:rsid w:val="00643230"/>
    <w:rsid w:val="006E09DF"/>
    <w:rsid w:val="009A438F"/>
    <w:rsid w:val="00A07E38"/>
    <w:rsid w:val="00A91DF0"/>
    <w:rsid w:val="00C305DD"/>
    <w:rsid w:val="00E8475D"/>
    <w:rsid w:val="00E92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A8221"/>
  <w15:chartTrackingRefBased/>
  <w15:docId w15:val="{04CFF773-CE0B-A54F-9653-5B953EF18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Uchitel</dc:creator>
  <cp:keywords/>
  <dc:description/>
  <cp:lastModifiedBy>Mohamad Mikati, M.D.</cp:lastModifiedBy>
  <cp:revision>2</cp:revision>
  <dcterms:created xsi:type="dcterms:W3CDTF">2019-03-21T02:44:00Z</dcterms:created>
  <dcterms:modified xsi:type="dcterms:W3CDTF">2019-03-21T02:44:00Z</dcterms:modified>
</cp:coreProperties>
</file>