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0B" w:rsidRPr="00CC6D1D" w:rsidRDefault="0074300B" w:rsidP="0074300B">
      <w:pPr>
        <w:rPr>
          <w:rFonts w:ascii="Times New Roman" w:hAnsi="Times New Roman" w:cs="Times New Roman"/>
          <w:b/>
        </w:rPr>
      </w:pPr>
      <w:r w:rsidRPr="00CC6D1D">
        <w:rPr>
          <w:rFonts w:ascii="Times New Roman" w:hAnsi="Times New Roman" w:cs="Times New Roman"/>
          <w:b/>
        </w:rPr>
        <w:t>Appendix 2. Methods of self-managed abortion reported in the literature, and information on how methods were procured</w:t>
      </w:r>
    </w:p>
    <w:tbl>
      <w:tblPr>
        <w:tblW w:w="11635" w:type="dxa"/>
        <w:tblLook w:val="04A0" w:firstRow="1" w:lastRow="0" w:firstColumn="1" w:lastColumn="0" w:noHBand="0" w:noVBand="1"/>
      </w:tblPr>
      <w:tblGrid>
        <w:gridCol w:w="1272"/>
        <w:gridCol w:w="1254"/>
        <w:gridCol w:w="638"/>
        <w:gridCol w:w="3602"/>
        <w:gridCol w:w="2119"/>
        <w:gridCol w:w="2750"/>
      </w:tblGrid>
      <w:tr w:rsidR="0074300B" w:rsidRPr="00713EAF" w:rsidTr="00E43117">
        <w:trPr>
          <w:trHeight w:val="37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Country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Author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Details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How method used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Procurement</w:t>
            </w:r>
          </w:p>
        </w:tc>
      </w:tr>
      <w:tr w:rsidR="0074300B" w:rsidRPr="00713EAF" w:rsidTr="00E43117">
        <w:trPr>
          <w:trHeight w:val="360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Plants/herbs (ingestion)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Parsley tea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Aiken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Black cohosh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Albuja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Potions made of leaves and 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Bannerjee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Home made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concoction 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kahva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papaya, chili)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Begun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57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Savin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juniper, myrrh,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mugwort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aloe, rue pennyroyal, quinine/cinchona, and ergot.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57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Teas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Gerdts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Herbal remedies such as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Stametta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(aloe, ascorbic acid and magnesium sulfate)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Gipson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 gathered from trees, bitter 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Rue and sage tea, St John’s wort, black and blue cohosh, black walnut, oak bark and other unspecified plants.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8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Herbert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cohosh, pennyroyal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8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Hernandez-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Rosete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Herbs, abortive tea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herbal mixtures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Hodoglugil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45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herbs/vitamins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45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Kerestes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cohosh, dong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quai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45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Kyllieh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Boiled pawpaw leaves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Strong teas: cinnamon, ginger, boiled brown outer skin of an onion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Madeiro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traditional 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Mengue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Medicinal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herbs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 (teas: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Senna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, rue,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canella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, boldo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Taken as a tea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6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Nath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most commonly and popularly used plant was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Hibiscus."On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basis of percentage of use in the surveyed population, the plants were divided in 3 categories: 0-40%, 41-60%, and 61-100%.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Mesua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ferrea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(40%) ii)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Abrus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precatorius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(50%), Aloe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barbadensis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Bambusa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arundinacea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Mentha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arvensis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(50%), Butea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monosperma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(57%),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Anethum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sowa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(60%),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Trigonella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foenum-gracum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(60%),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Michelia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champaka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(60%); iii)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Adhatoda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vasica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(70%), Cannabis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satvia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(70%), Hibiscus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rosa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sinesis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(75%),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Moringa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oleifera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(70%),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Trachyspermum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ammi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(67%)."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Nations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Traditional herbs. Cargo Santo with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Arueira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Corama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Malva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(juice) and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Angelica,bottled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solutions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nine different types of 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Traditional herbalists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 &amp; Canada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Ojanen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-Goldsmith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76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Mauritus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Oodit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Ingestion of a pineapple early in the morning on an empty stomach for two-three weeks until bleeding started. The ingestion of a boiled mixture of avocado leaves, ginger, tea leaves and the skin of a drumstick tree also taken in the morning on an empty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stomach, to act as a dilator/irritant.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Penfold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Tea made from roots and bark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Madagascar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Pourette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Infusions or herbal decoctions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Rogers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Sensoy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Boiling and drinking cumin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Wantania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Herbs or traditional materials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6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Zambia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Webb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Boiled roots –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Lunsonga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(Bemba),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muzwezi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various types of plants from the euphorbia family which are green,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cactuslik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produce white sap, often taken with bread;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mubonobono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mululwe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mulozameno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(also used for treating toothache),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munsokansoka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roots – very bitter and easily obtained in markets. Also mentioned in reference to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dysmenorrhoea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itembusha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sisal like plants;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mbulumbulu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leaves, paw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paw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roots,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matolisa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bitter roots soaked in water and drunk,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mkoswe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roots. Ashes –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mulota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ifisikisa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chidulo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ashes from charcoal. Some trees contain high amounts of sodium carbonate which when burnt leave a soda.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Munsokansoka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roots – very bitter and easily obtained in markets</w:t>
            </w:r>
          </w:p>
        </w:tc>
      </w:tr>
      <w:tr w:rsidR="0074300B" w:rsidRPr="00713EAF" w:rsidTr="00E43117">
        <w:trPr>
          <w:trHeight w:val="360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Toxic substances (ingestion) 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Cleaning substances, vinegar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Bolivia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Chemical solutions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Gerdts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Steel wool, household cleaning agents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Hodoglugil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laundry detergent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Jewkes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fabric softener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20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Zambia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Webb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Rushed bottles – drinking ground glass with any beverage. Washing powder – Local brands were mentioned such as ‘Dynamo’ and ‘Boom’, which are either drunk with water or taken dry. Often half a packet is consumed. Other methods mentioned were drinking salt solution, battery acid or methylated spirits.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Elders, grandparents and friends who have experience in dealing with abortions are consulted for help.</w:t>
            </w:r>
          </w:p>
        </w:tc>
      </w:tr>
      <w:tr w:rsidR="0074300B" w:rsidRPr="00713EAF" w:rsidTr="00E43117">
        <w:trPr>
          <w:trHeight w:val="339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Intruterine</w:t>
            </w:r>
            <w:proofErr w:type="spellEnd"/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objects, hanger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Long/sharp instrument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Albuja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Nonsterile instruments such as hangers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Bannerjee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Metal stick/herbs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“insertion of objects” bamboo sticks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Stick from a shrub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Bolivia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Herbs or roots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Ciganda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Self inflicted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instrumental manipulation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Digital penetration, sea-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tange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tents, douching/syringe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Needles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Intravaginal trauma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Jewkes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Pencil inserted in vagina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Kebede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Rubber tubes, or roots of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Kyllieh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Inserting herbs into the vagina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8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Vaginal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Handal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boiled and mashed and placed inside the vagina on cotton. Salt: placed in the vagina. Inserted into the cervix: A hard lump of sugar (rock, crystal sugar); A hard green bean; A long stick, usually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molokhia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that is first dipped in oil; An intrauterine device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Mozambique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Machungo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Potassium permanganate, resulted in local burns at the vaginal and cervical level" sound or catheter, intrauterine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device,roots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2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Bangladesh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Measham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Tree root sticks, catheters, or intrauterine contraceptive devices were also used sometimes in conjunction with herbs, injections, or oral drugs.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 a tree root into the uterus and leave it in place until an abortion or complications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ensu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2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Mauritus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Oodit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Bicycle spokes or umbrella ribs were inserted into the vagina until bleeding started.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Ananas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marron (wild pineapple) and a boiled onion were introduced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into the cervix.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Penfold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Inserting herbs into the vagina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Madagascar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Pourette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Intrauterine insertion of probes or plant stems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Sensoy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Inserting a needle into the uterus; placing cotton with olive oil into the cervix area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5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Zambia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Webb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Physical removal – using a stick or sharp root to ‘prick </w:t>
            </w:r>
            <w:proofErr w:type="spellStart"/>
            <w:proofErr w:type="gram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foetus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proofErr w:type="gram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often cassava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katapa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paw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paw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chilli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Matabula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tree – a type of large cassava tree where a leaf stalk is taken and entered into the vagina.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Physical trauma 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Extraneous exercise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Hot baths, “fitness class that required jumping on a trampoline, long walks, sit-ups squats”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Bannerjee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massage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Begun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Starvation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Vigorous pelvic pummeling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Bolivia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Falling or lifting heavy objects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Self-harm, hot baths, and strenuous exercise - jumping over ditches, jumping down from tables and sheds, running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arge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distances, carrying heavy loads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Flavier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Abdominal massage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Gemming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Unusual exercise or exertion, hot or cold baths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Gipson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Hilot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(abdominal massage)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Abdominal trauma, excessive exercise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Getting hit in the abdomen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Jumping from the top of the stairs or a low roof. Lifting heavy objects. Rectal Enemas: with soap or Shih tea (Artemisia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-alba or wormwood)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Naravage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Using pressure and objects to beat the belly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206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Mauritus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Oodit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Heavy loads, such as buckets of water, were carried on the head, sides, and/or stomach to put pressure on the body, especially on the uterus, until it started to bleed. Jumping from heights, such as tables, to induce bleeding. A child was made to jump on the stomach of the women until she felt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pain or bleeding started.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Penfold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Heavy massage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Rogers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Extensive massage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Sensoy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Lifting heavy things, putting a heavy object on the belly, jumping from a high place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Mifepristone + misoprostol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Appiah-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Agyekum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and public health care facilities, pharmacies and other drug outlets for abortions. 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Armo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Elizalde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Endler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telemedicine service 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Foster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telemedicine service 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Gerdts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Kerestes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266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Manriquez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Sources included doctors (only one person), pill sellers, friendship networks, personal relationships and connections with members of certain university groups; direct purchase on the Internet; and internet-based telemedicine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service.</w:t>
            </w:r>
          </w:p>
        </w:tc>
      </w:tr>
      <w:tr w:rsidR="0074300B" w:rsidRPr="00713EAF" w:rsidTr="00E4311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Mutua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Pharmacies 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Rogers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Pharmacies 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Yoon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telemedicine service </w:t>
            </w:r>
          </w:p>
        </w:tc>
      </w:tr>
      <w:tr w:rsidR="0074300B" w:rsidRPr="00713EAF" w:rsidTr="00E43117">
        <w:trPr>
          <w:trHeight w:val="348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Misoprostol only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Alsibiani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Appiah-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Agyekum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Arthotec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Oxaprost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and public health care facilities, pharmacies and other drug outlets for abortions. 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Berry-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Bibee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Bolivia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Zordo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00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 or telephone vendors, friends, relatives, neighbors or pharmacists </w:t>
            </w:r>
          </w:p>
        </w:tc>
      </w:tr>
      <w:tr w:rsidR="0074300B" w:rsidRPr="00713EAF" w:rsidTr="00E43117">
        <w:trPr>
          <w:trHeight w:val="5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Elizalde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Internet, social networks, friends 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Ferrari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Informal vendors 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Gerdts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Gipson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Friends, shops, across the border in Mexican pharmacies. 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Herbert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Jewkes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"Those who saw a nurse, doctor or pharmacist were mostly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given misoprostol."</w:t>
            </w:r>
          </w:p>
        </w:tc>
      </w:tr>
      <w:tr w:rsidR="0074300B" w:rsidRPr="00713EAF" w:rsidTr="00E43117">
        <w:trPr>
          <w:trHeight w:val="33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Jilozian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professionals noted that their patients use dosages of misoprostol that differ from the usual recommended dose.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Jones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3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Kahabuka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76.3% reported using the correct amount of misoprostol as advised at the initial visit.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Local pharmacies without prescription</w:t>
            </w:r>
          </w:p>
        </w:tc>
      </w:tr>
      <w:tr w:rsidR="0074300B" w:rsidRPr="00713EAF" w:rsidTr="00E43117">
        <w:trPr>
          <w:trHeight w:val="39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Kerestes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9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Kerestes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4300B" w:rsidRPr="00713EAF" w:rsidTr="00E43117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Kerestes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Online, a clinic, a store, outside the US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Latin America (unspecified)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Misoprostol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sold by pharmacists</w:t>
            </w:r>
          </w:p>
        </w:tc>
      </w:tr>
      <w:tr w:rsidR="0074300B" w:rsidRPr="00713EAF" w:rsidTr="00E43117">
        <w:trPr>
          <w:trHeight w:val="39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Madeiro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264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Africa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Mandondo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The misoprostol dosages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ingested ranged from 400 to 1 200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with 10 women (56%) taking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800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orally. Two women (11%) took 400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orally, 2 (11%) took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400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 and vaginally, and 1 (6%) took 1 200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orally. The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misoprostol dosage was unspecified in 3 women (17%).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Telephone vendors, family/friends, physician, informal vendor </w:t>
            </w:r>
          </w:p>
        </w:tc>
      </w:tr>
      <w:tr w:rsidR="0074300B" w:rsidRPr="00713EAF" w:rsidTr="00E43117">
        <w:trPr>
          <w:trHeight w:val="261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Manriquez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Sources included doctors (only one person), pill sellers, friendship networks, personal relationships and connections with members of certain university groups; direct purchase on the Internet; and internet-based telemedicine service.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Meffen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Meglioli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47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Mengue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3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Nozar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Most women used vaginal misoprostol (97% vs. 86.8%), in the doses recommended in the medical literature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40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Nicaragua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Ochoa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Mauritus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Oodit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Pharmacists</w:t>
            </w:r>
          </w:p>
        </w:tc>
      </w:tr>
      <w:tr w:rsidR="0074300B" w:rsidRPr="00713EAF" w:rsidTr="00E43117">
        <w:trPr>
          <w:trHeight w:val="12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Madagascar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Pourette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Cytotec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Friends/family, informal vendors, health care provider, traditional birth attendant, pharmacy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Ujah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Pharmacy shops in the urban community of Jos North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Jos South Local government areas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Wantania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 and drug abuse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Bottle of vodka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Damalie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Gemming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Gerdts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Alcohol, cocaine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 or drugs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Kyllieh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4300B" w:rsidRPr="00713EAF" w:rsidRDefault="0074300B" w:rsidP="00E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Other drugs, substances and mixtures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Ahiadeke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Paracetamol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Vitamin 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Aiken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Vitamin 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Albuja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Pills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Appia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Drugs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12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Appiah-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Agyekum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Aspirin, Diclofenac (used alone or with alcoholic beverages, herbs and roots). Prescription drugs like metformin,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Faverin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Paxil. Contraceptives, emergency contraception, painkillers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and public health care facilities, pharmacies and other drug outlets for abortions. 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Bannerjee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Goli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(tablets),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Begun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Drugs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Western and Burmese medicine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Berry-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Bibee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Miso+beer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DRC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Burkhardt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oral medication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5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Bolivia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Sauna, arranging a car accident, injecting substances intramuscularly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Ciganda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Pharmaceuticals (injected hormones, acetylsalicylic acid and other drugs in nontoxic doses) were used in association with herbals in 15 cases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Plan B, antibiotics, smoking a lot of cigarettes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Damalie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Sugar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concontions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; Locally prepared blood tonics; Over the counter drugs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ergometrine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nor-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ethisterone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enanthate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tablets)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Medications, laxatives, purgatives, castor oil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Informal vendors 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Antidepressant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Flavier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Tablets, injections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Gemming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Drugs, medicines, instrument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Africa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Gerdts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Dutch remedies, laxatives other miscellaneous medications (probably pain medication mixed with miso)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8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Gipson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Over the counter medicines (aspirin, paracetamol)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ingested on an empty stomach and with a warm, clear soft  drink such as 7 -Up or Sprite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Vitamin C, aspirin, laxatives, oral contraceptives, hormonal injections and unspecified pills or injections. Food beverage (coffee with lemon, warm coca cola with baking soda, unspecified syrups,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malta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Grossman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Other medication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Chloroquine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Herbert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Vitamin C, miso and other substances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Sugar related substances, analgesics, ground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obttomes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hormonal preparations, drugs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Drugs from a drug seller</w:t>
            </w:r>
          </w:p>
        </w:tc>
      </w:tr>
      <w:tr w:rsidR="0074300B" w:rsidRPr="00713EAF" w:rsidTr="00E43117">
        <w:trPr>
          <w:trHeight w:val="18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Jewkes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Dutch medicines, laxatives, quinine, oral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contraeptives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"prevention pills", packets of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triphascil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packet of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Ovral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vinegar,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tataric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  Essence of life and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Brokoon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rooklax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castor oil, Alwyn,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polive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oil, methylated spirit, mixture of tablets and painkillers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Kebede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Drugs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Kerestes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Vitamin 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Kyllieh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Nescafe, grinded bottles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20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"Indigenous methods"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wasfa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baladi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Handal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Citrullus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colocynthis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Schrad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.); mashed and boiled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Hilba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Trigonellafoenum-graecum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fenugreek), eaten dry from the spoon; Cottonseed oil: a laxative;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Chloroquin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antimalarial pills; Two cholera immunizations (from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diferent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 units) on the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same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Women report using two or more of these methods at once and often trying a series of methods in sequence if they do not achieve results.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Chloroquine: at pharmacies over the counter 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Latin America (unspecified)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Hormonal injections (5 mg of estradiol benzoate and 50 mg of progesterone was the most popular. Other combined hormonal injections containing an estrogen (estradiol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enanthate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estradiol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cypionate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estradiol benzoate) as well as progestin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algestone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medroxyprogesterone acetate) and estradiol benzoate </w:t>
            </w:r>
            <w:proofErr w:type="gram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alone )</w:t>
            </w:r>
            <w:proofErr w:type="gram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quinine gluconate, oxytocin. Emergency contraceptives, oral contraceptives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Pharmacists</w:t>
            </w:r>
          </w:p>
        </w:tc>
      </w:tr>
      <w:tr w:rsidR="0074300B" w:rsidRPr="00713EAF" w:rsidTr="00E43117">
        <w:trPr>
          <w:trHeight w:val="3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Machungo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"Traditional methods"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Makorah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Laxatives, enemas, pills such as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Disprin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herbs. Aloe, Balsam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kopifa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Dettol and others such as Super rose lotion.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3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Meffen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Combination of injections, plants or tablets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Mengue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Combinations of estrogens and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progestagens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, Progesterone 1 estradiol, medroxyprogesterone acetate; Prostaglandins: Misoprostol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6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Naravage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Abortifacient products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Drugstores or grocery stores, traditional healers </w:t>
            </w:r>
          </w:p>
        </w:tc>
      </w:tr>
      <w:tr w:rsidR="0074300B" w:rsidRPr="00713EAF" w:rsidTr="00E43117">
        <w:trPr>
          <w:trHeight w:val="26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Brazil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Gineeoside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postconceptive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"pregnancy test."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Ginecoside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contains high doses of estrogen and progestin which can provoke bleeding; Warm red wine.  Two patent drugs are widely used: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Regulador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Xavier I and 11 and As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Legitimas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Pilulas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Purgativas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Cirurgido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Mattos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(The legitimate Purgative Pills of Surgeon, Dr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Mattos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) or, as popularly called, "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Pilula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Mato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" ("pill of the bush"). A third patent drug, ~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tgua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Inglesa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Pharrmacies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Nivedita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Abortion pills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unespecified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US &amp; Canada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Ojanen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-Goldsmith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medication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Mauritus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Oodit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• Drinking boiled wine with cinnamon.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Drinking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epsom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salts.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Drinking 'eau de vie' (hard alcohol) and cinnamon.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Drinking hot '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monis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' (an iron supplement).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9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Penfold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Unspecified pills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9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Madagascar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Pourette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Estrogen-progestogen pills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39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Rogers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Drugs of unknown chemical composition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00B" w:rsidRPr="00713EAF" w:rsidTr="00E43117">
        <w:trPr>
          <w:trHeight w:val="92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Ujah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Drugs such as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Postinor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(22%),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Gynaecosid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menstrogen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(11%),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Apriol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steel (10%) and quinine (9%).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Pharmacies</w:t>
            </w:r>
          </w:p>
        </w:tc>
      </w:tr>
      <w:tr w:rsidR="0074300B" w:rsidRPr="00713EAF" w:rsidTr="00E43117">
        <w:trPr>
          <w:trHeight w:val="23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Zambia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Webb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Chloroquine ;</w:t>
            </w:r>
            <w:proofErr w:type="gram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Painkillers/antibiotics –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Cafenol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Panadol, ‘capsules’, ampicillin, aspirin,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Anadin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Various doses are mentioned, 8–10 tablets at once being the most commonly cited. Beverages – boiled beer, boiled Coca Cola, 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Mazoe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Fanta</w:t>
            </w:r>
            <w:proofErr w:type="gram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. These are usually drunk with an overdose of painkillers. Very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strong tea (</w:t>
            </w:r>
            <w:proofErr w:type="spellStart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amasamba</w:t>
            </w:r>
            <w:proofErr w:type="spellEnd"/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Bemba).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Chloroquine: usually in the region of 8–20 tablets, taken either all together or over one or two days. Painkillers / antibiotics: Various doses are mentioned, 8–10 tablets at once being the most commonly cited.</w:t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Beverages: These are usually drunk with an overdose of painkillers.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B" w:rsidRPr="00713EAF" w:rsidRDefault="0074300B" w:rsidP="00E4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C61F7" w:rsidRDefault="00AC61F7">
      <w:bookmarkStart w:id="0" w:name="_GoBack"/>
      <w:bookmarkEnd w:id="0"/>
    </w:p>
    <w:sectPr w:rsidR="00AC61F7" w:rsidSect="00743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E14"/>
    <w:multiLevelType w:val="hybridMultilevel"/>
    <w:tmpl w:val="EF0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AE9"/>
    <w:multiLevelType w:val="hybridMultilevel"/>
    <w:tmpl w:val="B630D756"/>
    <w:lvl w:ilvl="0" w:tplc="4114F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3A48"/>
    <w:multiLevelType w:val="hybridMultilevel"/>
    <w:tmpl w:val="AB383912"/>
    <w:lvl w:ilvl="0" w:tplc="4A728416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A7DD9"/>
    <w:multiLevelType w:val="hybridMultilevel"/>
    <w:tmpl w:val="922E7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D1212"/>
    <w:multiLevelType w:val="hybridMultilevel"/>
    <w:tmpl w:val="3BF44CAC"/>
    <w:lvl w:ilvl="0" w:tplc="780CE4C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40B3"/>
    <w:multiLevelType w:val="hybridMultilevel"/>
    <w:tmpl w:val="A778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218B"/>
    <w:multiLevelType w:val="hybridMultilevel"/>
    <w:tmpl w:val="105E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D6526"/>
    <w:multiLevelType w:val="hybridMultilevel"/>
    <w:tmpl w:val="51D2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09A"/>
    <w:multiLevelType w:val="hybridMultilevel"/>
    <w:tmpl w:val="07E0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D5644"/>
    <w:multiLevelType w:val="hybridMultilevel"/>
    <w:tmpl w:val="84D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B"/>
    <w:rsid w:val="00001755"/>
    <w:rsid w:val="00005D7D"/>
    <w:rsid w:val="00010B43"/>
    <w:rsid w:val="00013921"/>
    <w:rsid w:val="000338F8"/>
    <w:rsid w:val="000461BA"/>
    <w:rsid w:val="00061CBF"/>
    <w:rsid w:val="000638A8"/>
    <w:rsid w:val="00070E53"/>
    <w:rsid w:val="000718D5"/>
    <w:rsid w:val="0009520F"/>
    <w:rsid w:val="000A2609"/>
    <w:rsid w:val="000D2DEE"/>
    <w:rsid w:val="000E3A30"/>
    <w:rsid w:val="000E68FB"/>
    <w:rsid w:val="00100A6C"/>
    <w:rsid w:val="00113F3C"/>
    <w:rsid w:val="001503B7"/>
    <w:rsid w:val="00160106"/>
    <w:rsid w:val="00163424"/>
    <w:rsid w:val="001650C8"/>
    <w:rsid w:val="001706C5"/>
    <w:rsid w:val="00173ADE"/>
    <w:rsid w:val="00187B20"/>
    <w:rsid w:val="00191E52"/>
    <w:rsid w:val="0019405E"/>
    <w:rsid w:val="001A731B"/>
    <w:rsid w:val="001B435B"/>
    <w:rsid w:val="001E711E"/>
    <w:rsid w:val="0021492D"/>
    <w:rsid w:val="002150E8"/>
    <w:rsid w:val="00216D88"/>
    <w:rsid w:val="0023200D"/>
    <w:rsid w:val="00234A5B"/>
    <w:rsid w:val="00250A5B"/>
    <w:rsid w:val="00251592"/>
    <w:rsid w:val="00253FEA"/>
    <w:rsid w:val="002547E0"/>
    <w:rsid w:val="002552BC"/>
    <w:rsid w:val="00257053"/>
    <w:rsid w:val="00261E17"/>
    <w:rsid w:val="002635D3"/>
    <w:rsid w:val="00265A51"/>
    <w:rsid w:val="002712CC"/>
    <w:rsid w:val="002828AA"/>
    <w:rsid w:val="0028659B"/>
    <w:rsid w:val="002917A0"/>
    <w:rsid w:val="00293237"/>
    <w:rsid w:val="002A458D"/>
    <w:rsid w:val="002C5698"/>
    <w:rsid w:val="002C5FE9"/>
    <w:rsid w:val="002D5145"/>
    <w:rsid w:val="002D70E1"/>
    <w:rsid w:val="002D7334"/>
    <w:rsid w:val="002D7335"/>
    <w:rsid w:val="002F2AFA"/>
    <w:rsid w:val="002F3677"/>
    <w:rsid w:val="002F60E9"/>
    <w:rsid w:val="002F65A4"/>
    <w:rsid w:val="00301C4F"/>
    <w:rsid w:val="00315575"/>
    <w:rsid w:val="00321CAD"/>
    <w:rsid w:val="0033528B"/>
    <w:rsid w:val="00346225"/>
    <w:rsid w:val="0035010D"/>
    <w:rsid w:val="00353B08"/>
    <w:rsid w:val="00354409"/>
    <w:rsid w:val="00376E39"/>
    <w:rsid w:val="003778F0"/>
    <w:rsid w:val="003802AA"/>
    <w:rsid w:val="00380FD2"/>
    <w:rsid w:val="00383511"/>
    <w:rsid w:val="00384CE2"/>
    <w:rsid w:val="00397889"/>
    <w:rsid w:val="003A1727"/>
    <w:rsid w:val="003C1C37"/>
    <w:rsid w:val="003D1382"/>
    <w:rsid w:val="003D1705"/>
    <w:rsid w:val="003D37F5"/>
    <w:rsid w:val="003F6596"/>
    <w:rsid w:val="004113B7"/>
    <w:rsid w:val="0041272D"/>
    <w:rsid w:val="004152D3"/>
    <w:rsid w:val="00420711"/>
    <w:rsid w:val="004272FC"/>
    <w:rsid w:val="00432D2C"/>
    <w:rsid w:val="0044058F"/>
    <w:rsid w:val="00457CD8"/>
    <w:rsid w:val="0049620E"/>
    <w:rsid w:val="004A3C0B"/>
    <w:rsid w:val="004A5C3C"/>
    <w:rsid w:val="004A7F8A"/>
    <w:rsid w:val="004B109F"/>
    <w:rsid w:val="004B5D54"/>
    <w:rsid w:val="004C645F"/>
    <w:rsid w:val="004C78C4"/>
    <w:rsid w:val="004E3DB1"/>
    <w:rsid w:val="004F6DAD"/>
    <w:rsid w:val="00503BA2"/>
    <w:rsid w:val="005264AC"/>
    <w:rsid w:val="00530B44"/>
    <w:rsid w:val="00533E9B"/>
    <w:rsid w:val="00562FCC"/>
    <w:rsid w:val="00566336"/>
    <w:rsid w:val="005734D1"/>
    <w:rsid w:val="0057626E"/>
    <w:rsid w:val="00577C65"/>
    <w:rsid w:val="0059530B"/>
    <w:rsid w:val="00595D87"/>
    <w:rsid w:val="00597447"/>
    <w:rsid w:val="005A0E61"/>
    <w:rsid w:val="005B1BCC"/>
    <w:rsid w:val="005B72B5"/>
    <w:rsid w:val="005C6FF8"/>
    <w:rsid w:val="005D7FF1"/>
    <w:rsid w:val="005F72AB"/>
    <w:rsid w:val="006058C1"/>
    <w:rsid w:val="006238DF"/>
    <w:rsid w:val="00635E09"/>
    <w:rsid w:val="006404E0"/>
    <w:rsid w:val="00656887"/>
    <w:rsid w:val="00670274"/>
    <w:rsid w:val="0067786D"/>
    <w:rsid w:val="00680533"/>
    <w:rsid w:val="006840B5"/>
    <w:rsid w:val="006843F8"/>
    <w:rsid w:val="006877DE"/>
    <w:rsid w:val="00697BF5"/>
    <w:rsid w:val="006A1E2B"/>
    <w:rsid w:val="006B256A"/>
    <w:rsid w:val="006B63F3"/>
    <w:rsid w:val="006C1428"/>
    <w:rsid w:val="006C5626"/>
    <w:rsid w:val="006E5911"/>
    <w:rsid w:val="0070355A"/>
    <w:rsid w:val="00711A1A"/>
    <w:rsid w:val="00713C9D"/>
    <w:rsid w:val="00715124"/>
    <w:rsid w:val="007163E0"/>
    <w:rsid w:val="007178B4"/>
    <w:rsid w:val="00723DD6"/>
    <w:rsid w:val="00740406"/>
    <w:rsid w:val="0074300B"/>
    <w:rsid w:val="0074452A"/>
    <w:rsid w:val="00772452"/>
    <w:rsid w:val="0078047D"/>
    <w:rsid w:val="00780F38"/>
    <w:rsid w:val="00784190"/>
    <w:rsid w:val="00791D70"/>
    <w:rsid w:val="00794E18"/>
    <w:rsid w:val="00797567"/>
    <w:rsid w:val="007A56A3"/>
    <w:rsid w:val="007B0D46"/>
    <w:rsid w:val="007B1D44"/>
    <w:rsid w:val="007B7DBD"/>
    <w:rsid w:val="007C1D8E"/>
    <w:rsid w:val="007D74EF"/>
    <w:rsid w:val="007E7E9D"/>
    <w:rsid w:val="007F30D7"/>
    <w:rsid w:val="007F5F6B"/>
    <w:rsid w:val="007F7843"/>
    <w:rsid w:val="008017B5"/>
    <w:rsid w:val="00841858"/>
    <w:rsid w:val="0085059A"/>
    <w:rsid w:val="008517FA"/>
    <w:rsid w:val="008603CC"/>
    <w:rsid w:val="00860453"/>
    <w:rsid w:val="00862E0E"/>
    <w:rsid w:val="00867F46"/>
    <w:rsid w:val="00884E59"/>
    <w:rsid w:val="00896DF4"/>
    <w:rsid w:val="008A0D61"/>
    <w:rsid w:val="008A3CEB"/>
    <w:rsid w:val="008A5887"/>
    <w:rsid w:val="008B1113"/>
    <w:rsid w:val="008B6D75"/>
    <w:rsid w:val="008C30DD"/>
    <w:rsid w:val="008D0484"/>
    <w:rsid w:val="008D1E14"/>
    <w:rsid w:val="008E7A50"/>
    <w:rsid w:val="00902435"/>
    <w:rsid w:val="009179A6"/>
    <w:rsid w:val="009364D3"/>
    <w:rsid w:val="00937A8F"/>
    <w:rsid w:val="00944C25"/>
    <w:rsid w:val="00946A1E"/>
    <w:rsid w:val="00957C87"/>
    <w:rsid w:val="0096525C"/>
    <w:rsid w:val="00965BE4"/>
    <w:rsid w:val="009674E1"/>
    <w:rsid w:val="00982867"/>
    <w:rsid w:val="00984528"/>
    <w:rsid w:val="00985A88"/>
    <w:rsid w:val="009872E6"/>
    <w:rsid w:val="00991FCB"/>
    <w:rsid w:val="009933CF"/>
    <w:rsid w:val="009A20E8"/>
    <w:rsid w:val="009A3B55"/>
    <w:rsid w:val="009A467E"/>
    <w:rsid w:val="009B0D35"/>
    <w:rsid w:val="009B127D"/>
    <w:rsid w:val="009B52C6"/>
    <w:rsid w:val="009C6702"/>
    <w:rsid w:val="009D44FD"/>
    <w:rsid w:val="009E00D5"/>
    <w:rsid w:val="009E04D4"/>
    <w:rsid w:val="009E4F1F"/>
    <w:rsid w:val="00A035C1"/>
    <w:rsid w:val="00A24BDF"/>
    <w:rsid w:val="00A26424"/>
    <w:rsid w:val="00A32AC0"/>
    <w:rsid w:val="00A40538"/>
    <w:rsid w:val="00A4191D"/>
    <w:rsid w:val="00A47066"/>
    <w:rsid w:val="00A538CC"/>
    <w:rsid w:val="00A53A61"/>
    <w:rsid w:val="00A57A6D"/>
    <w:rsid w:val="00A83A30"/>
    <w:rsid w:val="00AC61F7"/>
    <w:rsid w:val="00AC6DE3"/>
    <w:rsid w:val="00AD130C"/>
    <w:rsid w:val="00AD4227"/>
    <w:rsid w:val="00AD6106"/>
    <w:rsid w:val="00AE339F"/>
    <w:rsid w:val="00AF730D"/>
    <w:rsid w:val="00B12994"/>
    <w:rsid w:val="00B133F7"/>
    <w:rsid w:val="00B143FF"/>
    <w:rsid w:val="00B21FC0"/>
    <w:rsid w:val="00B42122"/>
    <w:rsid w:val="00B80609"/>
    <w:rsid w:val="00B81491"/>
    <w:rsid w:val="00B9037D"/>
    <w:rsid w:val="00BA45D0"/>
    <w:rsid w:val="00BB28E7"/>
    <w:rsid w:val="00BC5ADA"/>
    <w:rsid w:val="00BC7F6F"/>
    <w:rsid w:val="00BD3E57"/>
    <w:rsid w:val="00BD44D8"/>
    <w:rsid w:val="00BE7DF8"/>
    <w:rsid w:val="00BE7EC5"/>
    <w:rsid w:val="00C00A86"/>
    <w:rsid w:val="00C1503C"/>
    <w:rsid w:val="00C34266"/>
    <w:rsid w:val="00C51E11"/>
    <w:rsid w:val="00C61197"/>
    <w:rsid w:val="00C75E21"/>
    <w:rsid w:val="00C80194"/>
    <w:rsid w:val="00C8066A"/>
    <w:rsid w:val="00C82A14"/>
    <w:rsid w:val="00C870E7"/>
    <w:rsid w:val="00C92B9C"/>
    <w:rsid w:val="00C95195"/>
    <w:rsid w:val="00CA1C3B"/>
    <w:rsid w:val="00CA6655"/>
    <w:rsid w:val="00CB1A0F"/>
    <w:rsid w:val="00CB3002"/>
    <w:rsid w:val="00CB5AB3"/>
    <w:rsid w:val="00CE2ACB"/>
    <w:rsid w:val="00CE2C9C"/>
    <w:rsid w:val="00D01FDF"/>
    <w:rsid w:val="00D029CD"/>
    <w:rsid w:val="00D343EF"/>
    <w:rsid w:val="00D41138"/>
    <w:rsid w:val="00D55C9D"/>
    <w:rsid w:val="00D727A8"/>
    <w:rsid w:val="00D72A7A"/>
    <w:rsid w:val="00D75A8C"/>
    <w:rsid w:val="00D82E51"/>
    <w:rsid w:val="00D976D6"/>
    <w:rsid w:val="00DA334C"/>
    <w:rsid w:val="00DA3BA1"/>
    <w:rsid w:val="00DC3F5E"/>
    <w:rsid w:val="00DC4782"/>
    <w:rsid w:val="00DD2E92"/>
    <w:rsid w:val="00DE3FE3"/>
    <w:rsid w:val="00DE4A6F"/>
    <w:rsid w:val="00DE4B9B"/>
    <w:rsid w:val="00DF1CF1"/>
    <w:rsid w:val="00DF44D0"/>
    <w:rsid w:val="00DF624D"/>
    <w:rsid w:val="00E07D6F"/>
    <w:rsid w:val="00E11508"/>
    <w:rsid w:val="00E22F82"/>
    <w:rsid w:val="00E30867"/>
    <w:rsid w:val="00E77FA9"/>
    <w:rsid w:val="00E837A4"/>
    <w:rsid w:val="00E8742C"/>
    <w:rsid w:val="00EA768B"/>
    <w:rsid w:val="00EC2221"/>
    <w:rsid w:val="00ED39F2"/>
    <w:rsid w:val="00EE628D"/>
    <w:rsid w:val="00EF09C3"/>
    <w:rsid w:val="00EF4356"/>
    <w:rsid w:val="00F155F7"/>
    <w:rsid w:val="00F36A5D"/>
    <w:rsid w:val="00F538E3"/>
    <w:rsid w:val="00F60CC8"/>
    <w:rsid w:val="00F64CB0"/>
    <w:rsid w:val="00F64FC2"/>
    <w:rsid w:val="00F74042"/>
    <w:rsid w:val="00F86744"/>
    <w:rsid w:val="00FD1FF5"/>
    <w:rsid w:val="00FD6E19"/>
    <w:rsid w:val="00FE323E"/>
    <w:rsid w:val="00FE6DCA"/>
    <w:rsid w:val="00FF0F3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28617-A66F-4AC5-A4B4-BF92DA9B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0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0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0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430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00B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0B"/>
  </w:style>
  <w:style w:type="paragraph" w:styleId="Footer">
    <w:name w:val="footer"/>
    <w:basedOn w:val="Normal"/>
    <w:link w:val="FooterChar"/>
    <w:uiPriority w:val="99"/>
    <w:unhideWhenUsed/>
    <w:rsid w:val="0074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0B"/>
  </w:style>
  <w:style w:type="paragraph" w:customStyle="1" w:styleId="Normal1">
    <w:name w:val="Normal1"/>
    <w:rsid w:val="0074300B"/>
    <w:pPr>
      <w:spacing w:after="0" w:line="276" w:lineRule="auto"/>
    </w:pPr>
    <w:rPr>
      <w:rFonts w:ascii="Arial" w:eastAsia="Arial" w:hAnsi="Arial" w:cs="Arial"/>
      <w:lang w:val="en"/>
    </w:rPr>
  </w:style>
  <w:style w:type="character" w:styleId="Emphasis">
    <w:name w:val="Emphasis"/>
    <w:basedOn w:val="DefaultParagraphFont"/>
    <w:uiPriority w:val="20"/>
    <w:qFormat/>
    <w:rsid w:val="0074300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43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300B"/>
    <w:rPr>
      <w:vertAlign w:val="superscript"/>
    </w:rPr>
  </w:style>
  <w:style w:type="paragraph" w:styleId="Revision">
    <w:name w:val="Revision"/>
    <w:hidden/>
    <w:uiPriority w:val="99"/>
    <w:semiHidden/>
    <w:rsid w:val="0074300B"/>
    <w:pPr>
      <w:spacing w:after="0" w:line="240" w:lineRule="auto"/>
    </w:pPr>
  </w:style>
  <w:style w:type="paragraph" w:customStyle="1" w:styleId="EndNoteBibliographyTitle">
    <w:name w:val="EndNote Bibliography Title"/>
    <w:basedOn w:val="Normal"/>
    <w:rsid w:val="0074300B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74300B"/>
    <w:pPr>
      <w:spacing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4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284451782">
    <w:name w:val="author-284451782"/>
    <w:basedOn w:val="DefaultParagraphFont"/>
    <w:rsid w:val="0074300B"/>
  </w:style>
  <w:style w:type="character" w:styleId="FollowedHyperlink">
    <w:name w:val="FollowedHyperlink"/>
    <w:basedOn w:val="DefaultParagraphFont"/>
    <w:uiPriority w:val="99"/>
    <w:semiHidden/>
    <w:unhideWhenUsed/>
    <w:rsid w:val="0074300B"/>
    <w:rPr>
      <w:color w:val="954F72"/>
      <w:u w:val="single"/>
    </w:rPr>
  </w:style>
  <w:style w:type="paragraph" w:customStyle="1" w:styleId="xl63">
    <w:name w:val="xl63"/>
    <w:basedOn w:val="Normal"/>
    <w:rsid w:val="0074300B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</w:rPr>
  </w:style>
  <w:style w:type="paragraph" w:customStyle="1" w:styleId="xl64">
    <w:name w:val="xl64"/>
    <w:basedOn w:val="Normal"/>
    <w:rsid w:val="007430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65">
    <w:name w:val="xl65"/>
    <w:basedOn w:val="Normal"/>
    <w:rsid w:val="0074300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66">
    <w:name w:val="xl66"/>
    <w:basedOn w:val="Normal"/>
    <w:rsid w:val="007430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67">
    <w:name w:val="xl67"/>
    <w:basedOn w:val="Normal"/>
    <w:rsid w:val="0074300B"/>
    <w:pP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68">
    <w:name w:val="xl68"/>
    <w:basedOn w:val="Normal"/>
    <w:rsid w:val="00743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</w:rPr>
  </w:style>
  <w:style w:type="paragraph" w:customStyle="1" w:styleId="xl69">
    <w:name w:val="xl69"/>
    <w:basedOn w:val="Normal"/>
    <w:rsid w:val="00743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70">
    <w:name w:val="xl70"/>
    <w:basedOn w:val="Normal"/>
    <w:rsid w:val="007430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71">
    <w:name w:val="xl71"/>
    <w:basedOn w:val="Normal"/>
    <w:rsid w:val="0074300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72">
    <w:name w:val="xl72"/>
    <w:basedOn w:val="Normal"/>
    <w:rsid w:val="007430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</w:rPr>
  </w:style>
  <w:style w:type="paragraph" w:customStyle="1" w:styleId="xl73">
    <w:name w:val="xl73"/>
    <w:basedOn w:val="Normal"/>
    <w:rsid w:val="00743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4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Moseson</dc:creator>
  <cp:keywords/>
  <dc:description/>
  <cp:lastModifiedBy>Heidi Moseson</cp:lastModifiedBy>
  <cp:revision>1</cp:revision>
  <dcterms:created xsi:type="dcterms:W3CDTF">2019-05-22T22:52:00Z</dcterms:created>
  <dcterms:modified xsi:type="dcterms:W3CDTF">2019-05-22T22:52:00Z</dcterms:modified>
</cp:coreProperties>
</file>