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29A" w:rsidRDefault="000C784B">
      <w:r w:rsidRPr="00652F07">
        <w:rPr>
          <w:noProof/>
          <w:lang w:eastAsia="nl-BE"/>
        </w:rPr>
        <w:drawing>
          <wp:inline distT="0" distB="0" distL="0" distR="0" wp14:anchorId="7B144ABC" wp14:editId="548403EF">
            <wp:extent cx="5760720" cy="3662045"/>
            <wp:effectExtent l="0" t="0" r="0" b="0"/>
            <wp:docPr id="1" name="Picture 1" descr="H:\EGS\Article-EGS\JCEMrevised4\JCEMrevisedFigures\vdStraaten_jc.2019-01437_SuplFig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GS\Article-EGS\JCEMrevised4\JCEMrevisedFigures\vdStraaten_jc.2019-01437_SuplFig1A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4B" w:rsidRDefault="000C784B">
      <w:r w:rsidRPr="00652F07">
        <w:rPr>
          <w:noProof/>
          <w:lang w:eastAsia="nl-BE"/>
        </w:rPr>
        <w:drawing>
          <wp:inline distT="0" distB="0" distL="0" distR="0" wp14:anchorId="31FBA693" wp14:editId="1E323670">
            <wp:extent cx="5760720" cy="3235960"/>
            <wp:effectExtent l="0" t="0" r="0" b="2540"/>
            <wp:docPr id="2" name="Picture 2" descr="H:\EGS\Article-EGS\JCEMrevised4\JCEMrevisedFigures\vdStraaten_jc.2019-01437_SuplFig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EGS\Article-EGS\JCEMrevised4\JCEMrevisedFigures\vdStraaten_jc.2019-01437_SuplFig1B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4B" w:rsidRDefault="000C784B" w:rsidP="000C784B">
      <w:pPr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Supplemental f</w:t>
      </w:r>
      <w:r>
        <w:rPr>
          <w:rFonts w:ascii="Times New Roman" w:eastAsia="Times New Roman" w:hAnsi="Times New Roman"/>
          <w:b/>
          <w:sz w:val="24"/>
          <w:szCs w:val="24"/>
          <w:lang w:val="en-US"/>
        </w:rPr>
        <w:t>igure</w:t>
      </w:r>
      <w:r w:rsidRPr="00C5643B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1.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Correlation and a</w:t>
      </w:r>
      <w:r w:rsidRPr="00283EBA">
        <w:rPr>
          <w:rFonts w:ascii="Times New Roman" w:eastAsia="Times New Roman" w:hAnsi="Times New Roman"/>
          <w:sz w:val="24"/>
          <w:szCs w:val="24"/>
          <w:lang w:val="en-US"/>
        </w:rPr>
        <w:t xml:space="preserve">greement between EGS and EMS. A: Correlation between EGS and EMS obtained in babies with typical and atypical genitalia. </w:t>
      </w:r>
      <w:r w:rsidRPr="00283EBA">
        <w:rPr>
          <w:rFonts w:ascii="Times New Roman" w:eastAsia="Times New Roman" w:hAnsi="Times New Roman"/>
          <w:sz w:val="24"/>
          <w:szCs w:val="24"/>
          <w:lang w:val="en-GB"/>
        </w:rPr>
        <w:t>B: Bland-</w:t>
      </w:r>
      <w:r w:rsidRPr="00283EBA">
        <w:rPr>
          <w:rFonts w:ascii="Times New Roman" w:eastAsia="Times New Roman" w:hAnsi="Times New Roman"/>
          <w:noProof/>
          <w:sz w:val="24"/>
          <w:szCs w:val="24"/>
          <w:lang w:val="en-GB"/>
        </w:rPr>
        <w:t>Altman</w:t>
      </w:r>
      <w:r w:rsidRPr="00283EBA">
        <w:rPr>
          <w:rFonts w:ascii="Times New Roman" w:eastAsia="Times New Roman" w:hAnsi="Times New Roman"/>
          <w:sz w:val="24"/>
          <w:szCs w:val="24"/>
          <w:lang w:val="en-GB"/>
        </w:rPr>
        <w:t xml:space="preserve"> plot to assess agreement between EGS and EMS. The difference between EGS and EMS against the mean of EGS and EMS.</w:t>
      </w:r>
    </w:p>
    <w:p w:rsidR="000C784B" w:rsidRDefault="000C784B" w:rsidP="000C784B">
      <w:pPr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="Times New Roman" w:hAnsi="Times New Roman"/>
          <w:sz w:val="24"/>
          <w:szCs w:val="24"/>
          <w:lang w:val="en-GB"/>
        </w:rPr>
        <w:br w:type="page"/>
      </w:r>
    </w:p>
    <w:tbl>
      <w:tblPr>
        <w:tblW w:w="9640" w:type="dxa"/>
        <w:tblInd w:w="-284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843"/>
        <w:gridCol w:w="1100"/>
        <w:gridCol w:w="1134"/>
        <w:gridCol w:w="2869"/>
        <w:gridCol w:w="1559"/>
      </w:tblGrid>
      <w:tr w:rsidR="000C784B" w:rsidRPr="00C36D4E" w:rsidTr="00506BE2">
        <w:tc>
          <w:tcPr>
            <w:tcW w:w="11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lastRenderedPageBreak/>
              <w:t xml:space="preserve">    EMS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outcomes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sub scores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 xml:space="preserve">   EGS</w:t>
            </w:r>
          </w:p>
        </w:tc>
        <w:tc>
          <w:tcPr>
            <w:tcW w:w="2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outcomes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sub scores</w:t>
            </w:r>
          </w:p>
        </w:tc>
      </w:tr>
      <w:tr w:rsidR="000C784B" w:rsidRPr="00C36D4E" w:rsidTr="00506BE2">
        <w:tc>
          <w:tcPr>
            <w:tcW w:w="1135" w:type="dxa"/>
            <w:tcBorders>
              <w:top w:val="single" w:sz="12" w:space="0" w:color="auto"/>
              <w:bottom w:val="single" w:sz="4" w:space="0" w:color="7F7F7F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Scrotal fusion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7F7F7F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>
              <w:rPr>
                <w:rFonts w:cstheme="minorHAnsi"/>
                <w:b/>
                <w:sz w:val="16"/>
                <w:szCs w:val="16"/>
                <w:lang w:val="en-US"/>
              </w:rPr>
              <w:t>Y/N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4" w:space="0" w:color="7F7F7F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3 / 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7F7F7F"/>
              <w:right w:val="single" w:sz="12" w:space="0" w:color="auto"/>
            </w:tcBorders>
            <w:shd w:val="clear" w:color="auto" w:fill="FFFFFF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L/S fusion</w:t>
            </w:r>
          </w:p>
        </w:tc>
        <w:tc>
          <w:tcPr>
            <w:tcW w:w="2869" w:type="dxa"/>
            <w:tcBorders>
              <w:top w:val="single" w:sz="12" w:space="0" w:color="auto"/>
              <w:left w:val="single" w:sz="12" w:space="0" w:color="auto"/>
              <w:bottom w:val="single" w:sz="4" w:space="0" w:color="7F7F7F"/>
            </w:tcBorders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Fused / Posterior fusion / Unfused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3 / 1.5 / 0</w:t>
            </w:r>
          </w:p>
        </w:tc>
      </w:tr>
      <w:tr w:rsidR="000C784B" w:rsidRPr="00C36D4E" w:rsidTr="00506BE2">
        <w:tc>
          <w:tcPr>
            <w:tcW w:w="1135" w:type="dxa"/>
            <w:tcBorders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Micropenis</w:t>
            </w:r>
            <w:proofErr w:type="spellEnd"/>
          </w:p>
        </w:tc>
        <w:tc>
          <w:tcPr>
            <w:tcW w:w="1843" w:type="dxa"/>
            <w:tcBorders>
              <w:lef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>
              <w:rPr>
                <w:rFonts w:cstheme="minorHAnsi"/>
                <w:b/>
                <w:sz w:val="16"/>
                <w:szCs w:val="16"/>
                <w:lang w:val="en-US"/>
              </w:rPr>
              <w:t>N/Y</w:t>
            </w:r>
          </w:p>
        </w:tc>
        <w:tc>
          <w:tcPr>
            <w:tcW w:w="1100" w:type="dxa"/>
            <w:tcBorders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3 / 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 xml:space="preserve">Genital 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tubercle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length</w:t>
            </w:r>
          </w:p>
        </w:tc>
        <w:tc>
          <w:tcPr>
            <w:tcW w:w="2869" w:type="dxa"/>
            <w:tcBorders>
              <w:left w:val="single" w:sz="12" w:space="0" w:color="auto"/>
            </w:tcBorders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</w:rPr>
              <w:t>&gt;31 / 26-30 /21-25 / 10-20 / &lt;10</w:t>
            </w:r>
          </w:p>
        </w:tc>
        <w:tc>
          <w:tcPr>
            <w:tcW w:w="1559" w:type="dxa"/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 xml:space="preserve">3 / 2.5 / 1.5 / 1/ 0 </w:t>
            </w:r>
          </w:p>
        </w:tc>
      </w:tr>
      <w:tr w:rsidR="000C784B" w:rsidRPr="00C36D4E" w:rsidTr="00506BE2">
        <w:tc>
          <w:tcPr>
            <w:tcW w:w="1135" w:type="dxa"/>
            <w:tcBorders>
              <w:top w:val="single" w:sz="4" w:space="0" w:color="7F7F7F"/>
              <w:bottom w:val="single" w:sz="4" w:space="0" w:color="7F7F7F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Urethral meatus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12" w:space="0" w:color="auto"/>
              <w:bottom w:val="single" w:sz="4" w:space="0" w:color="7F7F7F"/>
            </w:tcBorders>
            <w:shd w:val="clear" w:color="auto" w:fill="F2F2F2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 xml:space="preserve">Normal/Distal 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Mid / Proximal</w:t>
            </w:r>
          </w:p>
        </w:tc>
        <w:tc>
          <w:tcPr>
            <w:tcW w:w="1100" w:type="dxa"/>
            <w:tcBorders>
              <w:top w:val="single" w:sz="4" w:space="0" w:color="7F7F7F"/>
              <w:bottom w:val="single" w:sz="4" w:space="0" w:color="7F7F7F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3 / 2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1 / 0</w:t>
            </w:r>
          </w:p>
        </w:tc>
        <w:tc>
          <w:tcPr>
            <w:tcW w:w="1134" w:type="dxa"/>
            <w:tcBorders>
              <w:top w:val="single" w:sz="4" w:space="0" w:color="7F7F7F"/>
              <w:left w:val="single" w:sz="12" w:space="0" w:color="auto"/>
              <w:bottom w:val="single" w:sz="4" w:space="0" w:color="7F7F7F"/>
              <w:right w:val="single" w:sz="12" w:space="0" w:color="auto"/>
            </w:tcBorders>
            <w:shd w:val="clear" w:color="auto" w:fill="FFFFFF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Urethral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meatus</w:t>
            </w:r>
          </w:p>
        </w:tc>
        <w:tc>
          <w:tcPr>
            <w:tcW w:w="2869" w:type="dxa"/>
            <w:tcBorders>
              <w:top w:val="single" w:sz="4" w:space="0" w:color="7F7F7F"/>
              <w:left w:val="single" w:sz="12" w:space="0" w:color="auto"/>
              <w:bottom w:val="single" w:sz="4" w:space="0" w:color="7F7F7F"/>
            </w:tcBorders>
            <w:shd w:val="clear" w:color="auto" w:fill="auto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 xml:space="preserve">Top GT / Coronal, Glandular 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Along GT / GT base / LS/ Perineal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3 / 2.5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 xml:space="preserve">2 / 1.5 / 1 / 0 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</w:tr>
      <w:tr w:rsidR="000C784B" w:rsidRPr="00C36D4E" w:rsidTr="00506BE2">
        <w:tc>
          <w:tcPr>
            <w:tcW w:w="1135" w:type="dxa"/>
            <w:tcBorders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Right gonad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LS /inguinal /Absent</w:t>
            </w:r>
          </w:p>
        </w:tc>
        <w:tc>
          <w:tcPr>
            <w:tcW w:w="1100" w:type="dxa"/>
            <w:tcBorders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1.5 / 1 / 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Right gonad</w:t>
            </w:r>
          </w:p>
        </w:tc>
        <w:tc>
          <w:tcPr>
            <w:tcW w:w="2869" w:type="dxa"/>
            <w:tcBorders>
              <w:left w:val="single" w:sz="12" w:space="0" w:color="auto"/>
            </w:tcBorders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s-E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 xml:space="preserve">LS/ </w:t>
            </w:r>
            <w:proofErr w:type="spellStart"/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>Ing</w:t>
            </w:r>
            <w:proofErr w:type="spellEnd"/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>-LS / Inguinal / Impalpable</w:t>
            </w:r>
          </w:p>
        </w:tc>
        <w:tc>
          <w:tcPr>
            <w:tcW w:w="1559" w:type="dxa"/>
            <w:shd w:val="clear" w:color="auto" w:fill="auto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s-E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>1.5 / 1 / 0.5 / 0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s-ES"/>
              </w:rPr>
            </w:pP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s-ES"/>
              </w:rPr>
            </w:pPr>
          </w:p>
        </w:tc>
      </w:tr>
      <w:tr w:rsidR="000C784B" w:rsidRPr="00C36D4E" w:rsidTr="00506BE2">
        <w:tc>
          <w:tcPr>
            <w:tcW w:w="1135" w:type="dxa"/>
            <w:tcBorders>
              <w:top w:val="single" w:sz="4" w:space="0" w:color="7F7F7F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Left  gonad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12" w:space="0" w:color="auto"/>
              <w:bottom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LS/inguinal / Absent</w:t>
            </w:r>
          </w:p>
        </w:tc>
        <w:tc>
          <w:tcPr>
            <w:tcW w:w="1100" w:type="dxa"/>
            <w:tcBorders>
              <w:top w:val="single" w:sz="4" w:space="0" w:color="7F7F7F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1.5 / 1 / 0</w:t>
            </w:r>
          </w:p>
        </w:tc>
        <w:tc>
          <w:tcPr>
            <w:tcW w:w="1134" w:type="dxa"/>
            <w:tcBorders>
              <w:top w:val="single" w:sz="4" w:space="0" w:color="7F7F7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Left  gonad</w:t>
            </w:r>
          </w:p>
        </w:tc>
        <w:tc>
          <w:tcPr>
            <w:tcW w:w="2869" w:type="dxa"/>
            <w:tcBorders>
              <w:top w:val="single" w:sz="4" w:space="0" w:color="7F7F7F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s-E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 xml:space="preserve">LS/ </w:t>
            </w:r>
            <w:proofErr w:type="spellStart"/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>Ing</w:t>
            </w:r>
            <w:proofErr w:type="spellEnd"/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>-LS / Inguinal / Impalpable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</w:tcPr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s-E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s-ES"/>
              </w:rPr>
              <w:t>1.5 / 1 / 0.5 / 0</w:t>
            </w: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s-ES"/>
              </w:rPr>
            </w:pPr>
          </w:p>
          <w:p w:rsidR="000C784B" w:rsidRPr="00CE45C2" w:rsidRDefault="000C784B" w:rsidP="00506BE2">
            <w:pPr>
              <w:spacing w:after="0"/>
              <w:rPr>
                <w:rFonts w:cstheme="minorHAnsi"/>
                <w:b/>
                <w:sz w:val="16"/>
                <w:szCs w:val="16"/>
                <w:lang w:val="es-ES"/>
              </w:rPr>
            </w:pPr>
          </w:p>
        </w:tc>
      </w:tr>
      <w:tr w:rsidR="000C784B" w:rsidRPr="00C36D4E" w:rsidTr="00506BE2">
        <w:trPr>
          <w:trHeight w:val="192"/>
        </w:trPr>
        <w:tc>
          <w:tcPr>
            <w:tcW w:w="11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bCs/>
                <w:sz w:val="16"/>
                <w:szCs w:val="16"/>
                <w:lang w:val="en-US"/>
              </w:rPr>
              <w:t>total score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sz w:val="16"/>
                <w:szCs w:val="16"/>
                <w:lang w:val="en-US"/>
              </w:rPr>
              <w:t xml:space="preserve">                                                    </w:t>
            </w: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>total score</w:t>
            </w:r>
          </w:p>
        </w:tc>
        <w:tc>
          <w:tcPr>
            <w:tcW w:w="44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C784B" w:rsidRPr="00CE45C2" w:rsidRDefault="000C784B" w:rsidP="00506BE2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  <w:r w:rsidRPr="00CE45C2">
              <w:rPr>
                <w:rFonts w:cstheme="minorHAnsi"/>
                <w:b/>
                <w:sz w:val="16"/>
                <w:szCs w:val="16"/>
                <w:lang w:val="en-US"/>
              </w:rPr>
              <w:t xml:space="preserve">                                                                                  12</w:t>
            </w:r>
          </w:p>
        </w:tc>
      </w:tr>
    </w:tbl>
    <w:p w:rsidR="000C784B" w:rsidRDefault="000C784B" w:rsidP="000C784B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en-US"/>
        </w:rPr>
      </w:pPr>
    </w:p>
    <w:p w:rsidR="000C784B" w:rsidRPr="009B4FC1" w:rsidRDefault="000C784B" w:rsidP="000C784B">
      <w:pPr>
        <w:spacing w:after="0" w:line="240" w:lineRule="auto"/>
        <w:rPr>
          <w:rFonts w:ascii="Times New Roman" w:eastAsia="Times New Roman" w:hAnsi="Times New Roman"/>
          <w:sz w:val="24"/>
          <w:lang w:val="en-GB"/>
        </w:rPr>
      </w:pPr>
      <w:r>
        <w:rPr>
          <w:rFonts w:ascii="Times New Roman" w:eastAsia="Times New Roman" w:hAnsi="Times New Roman"/>
          <w:b/>
          <w:sz w:val="24"/>
          <w:lang w:val="en-US"/>
        </w:rPr>
        <w:t>Supplemental t</w:t>
      </w:r>
      <w:r w:rsidRPr="006539B9">
        <w:rPr>
          <w:rFonts w:ascii="Times New Roman" w:eastAsia="Times New Roman" w:hAnsi="Times New Roman"/>
          <w:b/>
          <w:sz w:val="24"/>
          <w:lang w:val="en-US"/>
        </w:rPr>
        <w:t>able 1</w:t>
      </w:r>
      <w:r>
        <w:rPr>
          <w:rFonts w:ascii="Times New Roman" w:eastAsia="Times New Roman" w:hAnsi="Times New Roman"/>
          <w:b/>
          <w:sz w:val="24"/>
          <w:lang w:val="en-US"/>
        </w:rPr>
        <w:t xml:space="preserve">. </w:t>
      </w:r>
      <w:r w:rsidRPr="00951E35">
        <w:rPr>
          <w:rFonts w:ascii="Times New Roman" w:eastAsia="Times New Roman" w:hAnsi="Times New Roman"/>
          <w:sz w:val="24"/>
          <w:lang w:val="en-US"/>
        </w:rPr>
        <w:t>Modification of the “External Masculinization Score” into the “External Genitalia Score”</w:t>
      </w:r>
      <w:r>
        <w:rPr>
          <w:rFonts w:ascii="Times New Roman" w:eastAsia="Times New Roman" w:hAnsi="Times New Roman"/>
          <w:sz w:val="24"/>
          <w:lang w:val="en-US"/>
        </w:rPr>
        <w:t xml:space="preserve"> </w:t>
      </w:r>
      <w:r w:rsidRPr="00951E35">
        <w:rPr>
          <w:rFonts w:ascii="Times New Roman" w:eastAsia="Times New Roman" w:hAnsi="Times New Roman"/>
          <w:sz w:val="24"/>
          <w:lang w:val="en-US"/>
        </w:rPr>
        <w:t xml:space="preserve">in order to describe the full spectrum of naturally occurring phenotypic variation in external genitalia. </w:t>
      </w:r>
      <w:r w:rsidRPr="00951E35">
        <w:rPr>
          <w:rFonts w:ascii="Times New Roman" w:eastAsia="Times New Roman" w:hAnsi="Times New Roman"/>
          <w:sz w:val="24"/>
          <w:lang w:val="en-GB"/>
        </w:rPr>
        <w:t xml:space="preserve">The EGS </w:t>
      </w:r>
      <w:r w:rsidRPr="00EF7309">
        <w:rPr>
          <w:rFonts w:ascii="Times New Roman" w:eastAsia="Times New Roman" w:hAnsi="Times New Roman"/>
          <w:sz w:val="24"/>
          <w:lang w:val="en-GB"/>
        </w:rPr>
        <w:t>and EMS</w:t>
      </w:r>
      <w:r w:rsidRPr="00091882">
        <w:rPr>
          <w:rFonts w:ascii="Times New Roman" w:eastAsia="Times New Roman" w:hAnsi="Times New Roman"/>
          <w:color w:val="FF0000"/>
          <w:sz w:val="24"/>
          <w:lang w:val="en-GB"/>
        </w:rPr>
        <w:t xml:space="preserve"> </w:t>
      </w:r>
      <w:r w:rsidRPr="00951E35">
        <w:rPr>
          <w:rFonts w:ascii="Times New Roman" w:eastAsia="Times New Roman" w:hAnsi="Times New Roman"/>
          <w:sz w:val="24"/>
          <w:lang w:val="en-GB"/>
        </w:rPr>
        <w:t xml:space="preserve">describe </w:t>
      </w:r>
      <w:r w:rsidRPr="00EF7309">
        <w:rPr>
          <w:rFonts w:ascii="Times New Roman" w:eastAsia="Times New Roman" w:hAnsi="Times New Roman"/>
          <w:sz w:val="24"/>
          <w:lang w:val="en-GB"/>
        </w:rPr>
        <w:t>the same</w:t>
      </w:r>
      <w:r>
        <w:rPr>
          <w:rFonts w:ascii="Times New Roman" w:eastAsia="Times New Roman" w:hAnsi="Times New Roman"/>
          <w:sz w:val="24"/>
          <w:lang w:val="en-GB"/>
        </w:rPr>
        <w:t xml:space="preserve"> </w:t>
      </w:r>
      <w:r w:rsidRPr="00951E35">
        <w:rPr>
          <w:rFonts w:ascii="Times New Roman" w:eastAsia="Times New Roman" w:hAnsi="Times New Roman"/>
          <w:sz w:val="24"/>
          <w:lang w:val="en-GB"/>
        </w:rPr>
        <w:t xml:space="preserve">phenotypic features at </w:t>
      </w:r>
      <w:r w:rsidRPr="00951E35">
        <w:rPr>
          <w:rFonts w:ascii="Times New Roman" w:eastAsia="Times New Roman" w:hAnsi="Times New Roman"/>
          <w:noProof/>
          <w:sz w:val="24"/>
          <w:lang w:val="en-GB"/>
        </w:rPr>
        <w:t>5</w:t>
      </w:r>
      <w:r w:rsidRPr="00951E35">
        <w:rPr>
          <w:rFonts w:ascii="Times New Roman" w:eastAsia="Times New Roman" w:hAnsi="Times New Roman"/>
          <w:sz w:val="24"/>
          <w:lang w:val="en-GB"/>
        </w:rPr>
        <w:t xml:space="preserve"> anatomical landmarks</w:t>
      </w:r>
      <w:r>
        <w:rPr>
          <w:rFonts w:ascii="Times New Roman" w:eastAsia="Times New Roman" w:hAnsi="Times New Roman"/>
          <w:sz w:val="24"/>
          <w:lang w:val="en-GB"/>
        </w:rPr>
        <w:t xml:space="preserve"> </w:t>
      </w:r>
      <w:r w:rsidRPr="00EF7309">
        <w:rPr>
          <w:rFonts w:ascii="Times New Roman" w:eastAsia="Times New Roman" w:hAnsi="Times New Roman"/>
          <w:sz w:val="24"/>
          <w:lang w:val="en-GB"/>
        </w:rPr>
        <w:t>of the genitalia</w:t>
      </w:r>
      <w:r w:rsidRPr="00951E35">
        <w:rPr>
          <w:rFonts w:ascii="Times New Roman" w:eastAsia="Times New Roman" w:hAnsi="Times New Roman"/>
          <w:sz w:val="24"/>
          <w:lang w:val="en-GB"/>
        </w:rPr>
        <w:t xml:space="preserve">: degree of </w:t>
      </w:r>
      <w:proofErr w:type="spellStart"/>
      <w:r w:rsidRPr="00951E35">
        <w:rPr>
          <w:rFonts w:ascii="Times New Roman" w:eastAsia="Times New Roman" w:hAnsi="Times New Roman"/>
          <w:sz w:val="24"/>
          <w:lang w:val="en-GB"/>
        </w:rPr>
        <w:t>labioscrotal</w:t>
      </w:r>
      <w:proofErr w:type="spellEnd"/>
      <w:r w:rsidRPr="00951E35">
        <w:rPr>
          <w:rFonts w:ascii="Times New Roman" w:eastAsia="Times New Roman" w:hAnsi="Times New Roman"/>
          <w:sz w:val="24"/>
          <w:lang w:val="en-GB"/>
        </w:rPr>
        <w:t xml:space="preserve"> fusion, length of the genital tubercle, </w:t>
      </w:r>
      <w:r w:rsidRPr="00951E35">
        <w:rPr>
          <w:rFonts w:ascii="Times New Roman" w:eastAsia="Times New Roman" w:hAnsi="Times New Roman"/>
          <w:noProof/>
          <w:sz w:val="24"/>
          <w:lang w:val="en-GB"/>
        </w:rPr>
        <w:t>position</w:t>
      </w:r>
      <w:r w:rsidRPr="00951E35">
        <w:rPr>
          <w:rFonts w:ascii="Times New Roman" w:eastAsia="Times New Roman" w:hAnsi="Times New Roman"/>
          <w:sz w:val="24"/>
          <w:lang w:val="en-GB"/>
        </w:rPr>
        <w:t xml:space="preserve"> of the urethral meatus, and locati</w:t>
      </w:r>
      <w:r>
        <w:rPr>
          <w:rFonts w:ascii="Times New Roman" w:eastAsia="Times New Roman" w:hAnsi="Times New Roman"/>
          <w:sz w:val="24"/>
          <w:lang w:val="en-GB"/>
        </w:rPr>
        <w:t>on of the right and left gonad</w:t>
      </w:r>
      <w:r w:rsidRPr="009B4FC1">
        <w:rPr>
          <w:rFonts w:ascii="Times New Roman" w:eastAsia="Times New Roman" w:hAnsi="Times New Roman"/>
          <w:sz w:val="24"/>
          <w:lang w:val="en-GB"/>
        </w:rPr>
        <w:t>.</w:t>
      </w:r>
      <w:r>
        <w:rPr>
          <w:rFonts w:ascii="Times New Roman" w:eastAsia="Times New Roman" w:hAnsi="Times New Roman"/>
          <w:sz w:val="24"/>
          <w:lang w:val="en-GB"/>
        </w:rPr>
        <w:t xml:space="preserve"> </w:t>
      </w:r>
      <w:r w:rsidRPr="009B4FC1">
        <w:rPr>
          <w:rFonts w:ascii="Times New Roman" w:eastAsia="Times New Roman" w:hAnsi="Times New Roman"/>
          <w:sz w:val="24"/>
          <w:lang w:val="en-GB"/>
        </w:rPr>
        <w:t xml:space="preserve">The categorical scales of EGS are more refined as compared to EMS, genital tubercle length has become a gradual scale. The final score is the sum of points allocated to feature 1-5, with a maximum of 12 for both scores. </w:t>
      </w:r>
    </w:p>
    <w:p w:rsidR="000C784B" w:rsidRPr="003554E3" w:rsidRDefault="000C784B" w:rsidP="000C784B">
      <w:pPr>
        <w:spacing w:line="240" w:lineRule="auto"/>
        <w:rPr>
          <w:rFonts w:ascii="Times New Roman" w:eastAsia="Times New Roman" w:hAnsi="Times New Roman"/>
          <w:sz w:val="20"/>
          <w:szCs w:val="20"/>
          <w:lang w:val="en-GB"/>
        </w:rPr>
      </w:pPr>
      <w:r w:rsidRPr="003554E3">
        <w:rPr>
          <w:rFonts w:ascii="Times New Roman" w:eastAsia="Times New Roman" w:hAnsi="Times New Roman"/>
          <w:sz w:val="20"/>
          <w:szCs w:val="20"/>
          <w:lang w:val="en-GB"/>
        </w:rPr>
        <w:t xml:space="preserve">Abbreviations: EMS: External Masculinization Score, EGS: External Genitalia Score. GT: genital tubercle, LS : </w:t>
      </w:r>
      <w:proofErr w:type="spellStart"/>
      <w:r w:rsidRPr="003554E3">
        <w:rPr>
          <w:rFonts w:ascii="Times New Roman" w:eastAsia="Times New Roman" w:hAnsi="Times New Roman"/>
          <w:sz w:val="20"/>
          <w:szCs w:val="20"/>
          <w:lang w:val="en-GB"/>
        </w:rPr>
        <w:t>Labio</w:t>
      </w:r>
      <w:proofErr w:type="spellEnd"/>
      <w:r w:rsidRPr="003554E3">
        <w:rPr>
          <w:rFonts w:ascii="Times New Roman" w:eastAsia="Times New Roman" w:hAnsi="Times New Roman"/>
          <w:sz w:val="20"/>
          <w:szCs w:val="20"/>
          <w:lang w:val="en-GB"/>
        </w:rPr>
        <w:t>/scrotal,</w:t>
      </w:r>
      <w:r>
        <w:rPr>
          <w:rFonts w:ascii="Times New Roman" w:eastAsia="Times New Roman" w:hAnsi="Times New Roman"/>
          <w:sz w:val="20"/>
          <w:szCs w:val="20"/>
          <w:lang w:val="en-GB"/>
        </w:rPr>
        <w:t xml:space="preserve"> </w:t>
      </w:r>
      <w:proofErr w:type="spellStart"/>
      <w:r w:rsidRPr="003554E3">
        <w:rPr>
          <w:rFonts w:ascii="Times New Roman" w:eastAsia="Times New Roman" w:hAnsi="Times New Roman"/>
          <w:sz w:val="20"/>
          <w:szCs w:val="20"/>
          <w:lang w:val="en-GB"/>
        </w:rPr>
        <w:t>Ing</w:t>
      </w:r>
      <w:proofErr w:type="spellEnd"/>
      <w:r w:rsidRPr="003554E3">
        <w:rPr>
          <w:rFonts w:ascii="Times New Roman" w:eastAsia="Times New Roman" w:hAnsi="Times New Roman"/>
          <w:sz w:val="20"/>
          <w:szCs w:val="20"/>
          <w:lang w:val="en-GB"/>
        </w:rPr>
        <w:t xml:space="preserve">-LS : </w:t>
      </w:r>
      <w:proofErr w:type="spellStart"/>
      <w:r w:rsidRPr="003554E3">
        <w:rPr>
          <w:rFonts w:ascii="Times New Roman" w:eastAsia="Times New Roman" w:hAnsi="Times New Roman"/>
          <w:sz w:val="20"/>
          <w:szCs w:val="20"/>
          <w:lang w:val="en-GB"/>
        </w:rPr>
        <w:t>Inguino-Labio</w:t>
      </w:r>
      <w:proofErr w:type="spellEnd"/>
      <w:r w:rsidRPr="003554E3">
        <w:rPr>
          <w:rFonts w:ascii="Times New Roman" w:eastAsia="Times New Roman" w:hAnsi="Times New Roman"/>
          <w:sz w:val="20"/>
          <w:szCs w:val="20"/>
          <w:lang w:val="en-GB"/>
        </w:rPr>
        <w:t>/scrotal</w:t>
      </w:r>
    </w:p>
    <w:p w:rsidR="000C784B" w:rsidRDefault="000C784B" w:rsidP="000C784B">
      <w:pPr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br w:type="page"/>
      </w:r>
    </w:p>
    <w:tbl>
      <w:tblPr>
        <w:tblW w:w="964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1086"/>
        <w:gridCol w:w="1087"/>
        <w:gridCol w:w="1088"/>
        <w:gridCol w:w="1594"/>
        <w:gridCol w:w="1076"/>
        <w:gridCol w:w="1077"/>
        <w:gridCol w:w="1077"/>
      </w:tblGrid>
      <w:tr w:rsidR="000C784B" w:rsidTr="00506BE2">
        <w:trPr>
          <w:trHeight w:val="718"/>
        </w:trPr>
        <w:tc>
          <w:tcPr>
            <w:tcW w:w="9640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lang w:val="en-GB"/>
              </w:rPr>
            </w:pPr>
          </w:p>
          <w:p w:rsidR="000C784B" w:rsidRPr="00CE45C2" w:rsidRDefault="000C784B" w:rsidP="00506BE2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CE45C2">
              <w:rPr>
                <w:rFonts w:asciiTheme="minorHAnsi" w:hAnsiTheme="minorHAnsi" w:cstheme="minorHAnsi"/>
                <w:b/>
                <w:sz w:val="20"/>
                <w:szCs w:val="20"/>
              </w:rPr>
              <w:t>Inter-observer</w:t>
            </w:r>
            <w:proofErr w:type="spellEnd"/>
            <w:r w:rsidRPr="00CE45C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Intraclass </w:t>
            </w:r>
            <w:proofErr w:type="spellStart"/>
            <w:r w:rsidRPr="00CE45C2">
              <w:rPr>
                <w:rFonts w:asciiTheme="minorHAnsi" w:hAnsiTheme="minorHAnsi" w:cstheme="minorHAnsi"/>
                <w:b/>
                <w:sz w:val="20"/>
                <w:szCs w:val="20"/>
              </w:rPr>
              <w:t>Correlation</w:t>
            </w:r>
            <w:proofErr w:type="spellEnd"/>
          </w:p>
        </w:tc>
      </w:tr>
      <w:tr w:rsidR="000C784B" w:rsidTr="00506BE2">
        <w:trPr>
          <w:trHeight w:val="416"/>
        </w:trPr>
        <w:tc>
          <w:tcPr>
            <w:tcW w:w="15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Typical 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Genitalia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     N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ICC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95% CI</w:t>
            </w:r>
          </w:p>
        </w:tc>
        <w:tc>
          <w:tcPr>
            <w:tcW w:w="159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Atypical genitalia</w:t>
            </w:r>
          </w:p>
        </w:tc>
        <w:tc>
          <w:tcPr>
            <w:tcW w:w="10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       N         </w:t>
            </w: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ICC</w:t>
            </w: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</w:rPr>
            </w:pPr>
            <w:r w:rsidRPr="00CE45C2">
              <w:rPr>
                <w:rFonts w:asciiTheme="minorHAnsi" w:hAnsiTheme="minorHAnsi" w:cstheme="minorHAnsi"/>
              </w:rPr>
              <w:t>95% CI</w:t>
            </w:r>
          </w:p>
        </w:tc>
      </w:tr>
      <w:tr w:rsidR="000C784B" w:rsidTr="00506BE2">
        <w:trPr>
          <w:trHeight w:val="862"/>
        </w:trPr>
        <w:tc>
          <w:tcPr>
            <w:tcW w:w="156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EGS</w:t>
            </w:r>
          </w:p>
        </w:tc>
        <w:tc>
          <w:tcPr>
            <w:tcW w:w="1086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35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0.99-1.0</w:t>
            </w:r>
          </w:p>
        </w:tc>
        <w:tc>
          <w:tcPr>
            <w:tcW w:w="159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EGS</w:t>
            </w:r>
          </w:p>
        </w:tc>
        <w:tc>
          <w:tcPr>
            <w:tcW w:w="1075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1    10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7    17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 39</w:t>
            </w: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0.95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0.93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0.80</w:t>
            </w: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0.83-0.99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0.83-0.98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0.65-0.89</w:t>
            </w: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Prader</w:t>
            </w:r>
            <w:proofErr w:type="spellEnd"/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35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1.0-1.0</w:t>
            </w:r>
          </w:p>
        </w:tc>
        <w:tc>
          <w:tcPr>
            <w:tcW w:w="1593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Prader</w:t>
            </w:r>
            <w:proofErr w:type="spellEnd"/>
          </w:p>
        </w:tc>
        <w:tc>
          <w:tcPr>
            <w:tcW w:w="1075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1    10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7    17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0.92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0.58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0.71-0.98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0.16-0.82</w:t>
            </w: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EMS</w:t>
            </w:r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35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1.0-1.0</w:t>
            </w:r>
          </w:p>
        </w:tc>
        <w:tc>
          <w:tcPr>
            <w:tcW w:w="1593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EMS</w:t>
            </w:r>
          </w:p>
        </w:tc>
        <w:tc>
          <w:tcPr>
            <w:tcW w:w="1075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1    10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7    17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 39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0.88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0.83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0.71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0.62-0.97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0.59-0.93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0.52-0.84</w:t>
            </w: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FEMALE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AGDl</w:t>
            </w:r>
            <w:proofErr w:type="spellEnd"/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12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0.85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0.55-0.95</w:t>
            </w:r>
          </w:p>
        </w:tc>
        <w:tc>
          <w:tcPr>
            <w:tcW w:w="1593" w:type="dxa"/>
            <w:shd w:val="clear" w:color="auto" w:fill="F2F2F2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5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AGDu</w:t>
            </w:r>
            <w:proofErr w:type="spellEnd"/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12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0.76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0.37-0.92</w:t>
            </w:r>
          </w:p>
        </w:tc>
        <w:tc>
          <w:tcPr>
            <w:tcW w:w="1593" w:type="dxa"/>
            <w:shd w:val="clear" w:color="auto" w:fill="F2F2F2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5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6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MALE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AGDl</w:t>
            </w:r>
            <w:proofErr w:type="spellEnd"/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23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0.86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0.70-0.94</w:t>
            </w:r>
          </w:p>
        </w:tc>
        <w:tc>
          <w:tcPr>
            <w:tcW w:w="1593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AGDl</w:t>
            </w:r>
            <w:proofErr w:type="spellEnd"/>
          </w:p>
        </w:tc>
        <w:tc>
          <w:tcPr>
            <w:tcW w:w="1075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1    6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7    17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 39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0.92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0.87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0.50-0.99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0.68-0.95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0.77-0.93</w:t>
            </w: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AGDu</w:t>
            </w:r>
            <w:proofErr w:type="spellEnd"/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Genital tubercle length</w:t>
            </w:r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23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23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0.52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0.77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0.13-0.76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0.53-0.90</w:t>
            </w:r>
          </w:p>
        </w:tc>
        <w:tc>
          <w:tcPr>
            <w:tcW w:w="1593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AGDu</w:t>
            </w:r>
            <w:proofErr w:type="spellEnd"/>
          </w:p>
        </w:tc>
        <w:tc>
          <w:tcPr>
            <w:tcW w:w="1075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1    5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7    17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 39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0.97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0.93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0.81-1.0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0.68-0.95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0.86-0.96</w:t>
            </w:r>
          </w:p>
        </w:tc>
      </w:tr>
      <w:tr w:rsidR="000C784B" w:rsidTr="00506BE2">
        <w:trPr>
          <w:trHeight w:val="178"/>
        </w:trPr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Genital tubercle length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1    8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7    17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 39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0.89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0.57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0.59-0.98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0.17-0.82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0.82-0.97</w:t>
            </w:r>
          </w:p>
        </w:tc>
      </w:tr>
      <w:tr w:rsidR="000C784B" w:rsidTr="00506BE2">
        <w:trPr>
          <w:trHeight w:val="532"/>
        </w:trPr>
        <w:tc>
          <w:tcPr>
            <w:tcW w:w="9640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0C784B" w:rsidRPr="00CE45C2" w:rsidRDefault="000C784B" w:rsidP="00506BE2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Intra-observer </w:t>
            </w:r>
            <w:proofErr w:type="spellStart"/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Intraclass</w:t>
            </w:r>
            <w:proofErr w:type="spellEnd"/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Correlation</w:t>
            </w:r>
          </w:p>
          <w:p w:rsidR="000C784B" w:rsidRPr="00CE45C2" w:rsidRDefault="000C784B" w:rsidP="00506BE2">
            <w:pPr>
              <w:pStyle w:val="NoSpacing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0C784B" w:rsidTr="00506BE2">
        <w:trPr>
          <w:trHeight w:val="204"/>
        </w:trPr>
        <w:tc>
          <w:tcPr>
            <w:tcW w:w="15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Typical 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Genitalia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      N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ICC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95% CI</w:t>
            </w:r>
          </w:p>
        </w:tc>
        <w:tc>
          <w:tcPr>
            <w:tcW w:w="159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Atypical 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genitalia</w:t>
            </w:r>
          </w:p>
        </w:tc>
        <w:tc>
          <w:tcPr>
            <w:tcW w:w="10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 C       N         </w:t>
            </w: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ICC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95% CI</w:t>
            </w:r>
          </w:p>
        </w:tc>
      </w:tr>
      <w:tr w:rsidR="000C784B" w:rsidTr="00506BE2">
        <w:trPr>
          <w:trHeight w:val="485"/>
        </w:trPr>
        <w:tc>
          <w:tcPr>
            <w:tcW w:w="156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FEMALE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AGDl</w:t>
            </w:r>
            <w:proofErr w:type="spellEnd"/>
          </w:p>
        </w:tc>
        <w:tc>
          <w:tcPr>
            <w:tcW w:w="1086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12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0.89</w:t>
            </w:r>
          </w:p>
        </w:tc>
        <w:tc>
          <w:tcPr>
            <w:tcW w:w="1087" w:type="dxa"/>
            <w:tcBorders>
              <w:top w:val="single" w:sz="12" w:space="0" w:color="000000"/>
              <w:left w:val="nil"/>
              <w:bottom w:val="nil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0.67-0.97</w:t>
            </w:r>
          </w:p>
        </w:tc>
        <w:tc>
          <w:tcPr>
            <w:tcW w:w="159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F2F2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  <w:tc>
          <w:tcPr>
            <w:tcW w:w="107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AGDu</w:t>
            </w:r>
            <w:proofErr w:type="spellEnd"/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 8   </w:t>
            </w: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12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0.85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0.57-0.96</w:t>
            </w:r>
          </w:p>
        </w:tc>
        <w:tc>
          <w:tcPr>
            <w:tcW w:w="1593" w:type="dxa"/>
            <w:shd w:val="clear" w:color="auto" w:fill="F2F2F2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  <w:tc>
          <w:tcPr>
            <w:tcW w:w="1075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  <w:tc>
          <w:tcPr>
            <w:tcW w:w="1076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  <w:tc>
          <w:tcPr>
            <w:tcW w:w="1076" w:type="dxa"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>MALE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AGDl</w:t>
            </w:r>
            <w:proofErr w:type="spellEnd"/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 8   </w:t>
            </w: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23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0.93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0.84-0.97</w:t>
            </w:r>
          </w:p>
        </w:tc>
        <w:tc>
          <w:tcPr>
            <w:tcW w:w="1593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AGDl</w:t>
            </w:r>
            <w:proofErr w:type="spellEnd"/>
          </w:p>
        </w:tc>
        <w:tc>
          <w:tcPr>
            <w:tcW w:w="1075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C 1   6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C 8    39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0.99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0.84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0.92-1.0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0.73-0.91</w:t>
            </w:r>
          </w:p>
        </w:tc>
      </w:tr>
      <w:tr w:rsidR="000C784B" w:rsidTr="00506BE2">
        <w:trPr>
          <w:trHeight w:val="532"/>
        </w:trPr>
        <w:tc>
          <w:tcPr>
            <w:tcW w:w="1560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proofErr w:type="spellStart"/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AGDu</w:t>
            </w:r>
            <w:proofErr w:type="spellEnd"/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Genital tubercle length</w:t>
            </w:r>
          </w:p>
        </w:tc>
        <w:tc>
          <w:tcPr>
            <w:tcW w:w="108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 8   </w:t>
            </w: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23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 8   23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0.87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0.82</w:t>
            </w:r>
          </w:p>
        </w:tc>
        <w:tc>
          <w:tcPr>
            <w:tcW w:w="1087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0.71-0.94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0.62-0.92</w:t>
            </w:r>
          </w:p>
        </w:tc>
        <w:tc>
          <w:tcPr>
            <w:tcW w:w="1593" w:type="dxa"/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AGD</w:t>
            </w: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</w:t>
            </w:r>
          </w:p>
        </w:tc>
        <w:tc>
          <w:tcPr>
            <w:tcW w:w="1075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C 1    5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C 8   39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0.96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0.97</w:t>
            </w:r>
          </w:p>
        </w:tc>
        <w:tc>
          <w:tcPr>
            <w:tcW w:w="1076" w:type="dxa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0.75-1.0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0.95-0.98</w:t>
            </w:r>
          </w:p>
        </w:tc>
      </w:tr>
      <w:tr w:rsidR="000C784B" w:rsidTr="00506BE2">
        <w:trPr>
          <w:trHeight w:val="532"/>
        </w:trPr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2F2F2"/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Genital tubercle length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C 1   6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C 8   </w:t>
            </w: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 xml:space="preserve">39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0.99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0.97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0.99-1.0</w:t>
            </w:r>
          </w:p>
          <w:p w:rsidR="000C784B" w:rsidRPr="00CE45C2" w:rsidRDefault="000C784B" w:rsidP="00506BE2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CE45C2">
              <w:rPr>
                <w:rFonts w:asciiTheme="minorHAnsi" w:hAnsiTheme="minorHAnsi" w:cstheme="minorHAnsi"/>
                <w:sz w:val="20"/>
                <w:szCs w:val="20"/>
              </w:rPr>
              <w:t>0.97-1.0</w:t>
            </w:r>
          </w:p>
        </w:tc>
      </w:tr>
    </w:tbl>
    <w:p w:rsidR="000C784B" w:rsidRDefault="000C784B" w:rsidP="000C784B">
      <w:pPr>
        <w:spacing w:before="240" w:after="0" w:line="256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Supplemental  t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able 2. </w:t>
      </w:r>
      <w:r>
        <w:rPr>
          <w:rFonts w:ascii="Times New Roman" w:hAnsi="Times New Roman"/>
          <w:sz w:val="24"/>
          <w:szCs w:val="24"/>
          <w:lang w:val="en-US"/>
        </w:rPr>
        <w:t xml:space="preserve">Inter-observer ICC for EGS, EMS, PS, </w:t>
      </w:r>
      <w:r>
        <w:rPr>
          <w:rFonts w:ascii="Times New Roman" w:hAnsi="Times New Roman"/>
          <w:noProof/>
          <w:sz w:val="24"/>
          <w:szCs w:val="24"/>
          <w:lang w:val="en-US"/>
        </w:rPr>
        <w:t>AGDl and AGDu, genital</w:t>
      </w:r>
      <w:r>
        <w:rPr>
          <w:rFonts w:ascii="Times New Roman" w:hAnsi="Times New Roman"/>
          <w:sz w:val="24"/>
          <w:szCs w:val="24"/>
          <w:lang w:val="en-US"/>
        </w:rPr>
        <w:t xml:space="preserve"> tubercle length and intra-observer ICC for EGS, EMS, PS in babies with typical and atypical genitalia Inter- and intra-observer ICC </w:t>
      </w:r>
      <w:r>
        <w:rPr>
          <w:rFonts w:ascii="Times New Roman" w:hAnsi="Times New Roman"/>
          <w:noProof/>
          <w:sz w:val="24"/>
          <w:szCs w:val="24"/>
          <w:lang w:val="en-US"/>
        </w:rPr>
        <w:t>were calculated</w:t>
      </w:r>
      <w:r>
        <w:rPr>
          <w:rFonts w:ascii="Times New Roman" w:hAnsi="Times New Roman"/>
          <w:sz w:val="24"/>
          <w:szCs w:val="24"/>
          <w:lang w:val="en-US"/>
        </w:rPr>
        <w:t xml:space="preserve"> using Single Rating, Absolute agreement, 2-way Random-effect Model. </w:t>
      </w:r>
      <w:r>
        <w:rPr>
          <w:rFonts w:ascii="Times New Roman" w:hAnsi="Times New Roman"/>
          <w:sz w:val="20"/>
          <w:szCs w:val="20"/>
          <w:lang w:val="en-US"/>
        </w:rPr>
        <w:t>Abbreviations: EGS: External Genitalia S</w:t>
      </w:r>
      <w:r w:rsidRPr="00812B7D">
        <w:rPr>
          <w:rFonts w:ascii="Times New Roman" w:hAnsi="Times New Roman"/>
          <w:sz w:val="20"/>
          <w:szCs w:val="20"/>
          <w:lang w:val="en-US"/>
        </w:rPr>
        <w:t xml:space="preserve">core, EMS: </w:t>
      </w:r>
      <w:r>
        <w:rPr>
          <w:rFonts w:ascii="Times New Roman" w:hAnsi="Times New Roman"/>
          <w:sz w:val="20"/>
          <w:szCs w:val="20"/>
          <w:lang w:val="en-US"/>
        </w:rPr>
        <w:t>External  Masculinization S</w:t>
      </w:r>
      <w:r w:rsidRPr="00812B7D">
        <w:rPr>
          <w:rFonts w:ascii="Times New Roman" w:hAnsi="Times New Roman"/>
          <w:sz w:val="20"/>
          <w:szCs w:val="20"/>
          <w:lang w:val="en-US"/>
        </w:rPr>
        <w:t xml:space="preserve">core, ICC: </w:t>
      </w:r>
      <w:proofErr w:type="spellStart"/>
      <w:r w:rsidRPr="00812B7D">
        <w:rPr>
          <w:rFonts w:ascii="Times New Roman" w:hAnsi="Times New Roman"/>
          <w:sz w:val="20"/>
          <w:szCs w:val="20"/>
          <w:lang w:val="en-US"/>
        </w:rPr>
        <w:t>Intraclass</w:t>
      </w:r>
      <w:proofErr w:type="spellEnd"/>
      <w:r w:rsidRPr="00812B7D">
        <w:rPr>
          <w:rFonts w:ascii="Times New Roman" w:hAnsi="Times New Roman"/>
          <w:sz w:val="20"/>
          <w:szCs w:val="20"/>
          <w:lang w:val="en-US"/>
        </w:rPr>
        <w:t xml:space="preserve"> correlation coefficient, CI: confidence interval, C1- 8: center 1- 8, </w:t>
      </w:r>
      <w:smartTag w:uri="urn:schemas-microsoft-com:office:smarttags" w:element="stockticker">
        <w:r w:rsidRPr="00812B7D">
          <w:rPr>
            <w:rFonts w:ascii="Times New Roman" w:hAnsi="Times New Roman"/>
            <w:sz w:val="20"/>
            <w:szCs w:val="20"/>
            <w:lang w:val="en-US"/>
          </w:rPr>
          <w:t>AGD</w:t>
        </w:r>
      </w:smartTag>
      <w:r w:rsidRPr="00812B7D">
        <w:rPr>
          <w:rFonts w:ascii="Times New Roman" w:hAnsi="Times New Roman"/>
          <w:sz w:val="20"/>
          <w:szCs w:val="20"/>
          <w:lang w:val="en-US"/>
        </w:rPr>
        <w:t xml:space="preserve">: </w:t>
      </w:r>
      <w:proofErr w:type="spellStart"/>
      <w:r w:rsidRPr="00812B7D">
        <w:rPr>
          <w:rFonts w:ascii="Times New Roman" w:hAnsi="Times New Roman"/>
          <w:sz w:val="20"/>
          <w:szCs w:val="20"/>
          <w:lang w:val="en-US"/>
        </w:rPr>
        <w:t>anogenital</w:t>
      </w:r>
      <w:proofErr w:type="spellEnd"/>
      <w:r w:rsidRPr="00812B7D">
        <w:rPr>
          <w:rFonts w:ascii="Times New Roman" w:hAnsi="Times New Roman"/>
          <w:sz w:val="20"/>
          <w:szCs w:val="20"/>
          <w:lang w:val="en-US"/>
        </w:rPr>
        <w:t xml:space="preserve"> distance,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AGDu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AGDupper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>):</w:t>
      </w:r>
      <w:r w:rsidRPr="00812B7D">
        <w:rPr>
          <w:rFonts w:ascii="Times New Roman" w:hAnsi="Times New Roman"/>
          <w:sz w:val="20"/>
          <w:szCs w:val="20"/>
          <w:lang w:val="en-US"/>
        </w:rPr>
        <w:t xml:space="preserve"> measured from the </w:t>
      </w:r>
      <w:proofErr w:type="spellStart"/>
      <w:r w:rsidRPr="00812B7D">
        <w:rPr>
          <w:rFonts w:ascii="Times New Roman" w:hAnsi="Times New Roman"/>
          <w:sz w:val="20"/>
          <w:szCs w:val="20"/>
          <w:lang w:val="en-US"/>
        </w:rPr>
        <w:t>centre</w:t>
      </w:r>
      <w:proofErr w:type="spellEnd"/>
      <w:r w:rsidRPr="00812B7D">
        <w:rPr>
          <w:rFonts w:ascii="Times New Roman" w:hAnsi="Times New Roman"/>
          <w:sz w:val="20"/>
          <w:szCs w:val="20"/>
          <w:lang w:val="en-US"/>
        </w:rPr>
        <w:t xml:space="preserve"> of the anus to the anterior base of the genital tubercle, and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AGDl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(</w:t>
      </w:r>
      <w:proofErr w:type="spellStart"/>
      <w:r w:rsidRPr="00812B7D">
        <w:rPr>
          <w:rFonts w:ascii="Times New Roman" w:hAnsi="Times New Roman"/>
          <w:sz w:val="20"/>
          <w:szCs w:val="20"/>
          <w:lang w:val="en-US"/>
        </w:rPr>
        <w:t>AGDlower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>)</w:t>
      </w:r>
      <w:r w:rsidRPr="00812B7D">
        <w:rPr>
          <w:rFonts w:ascii="Times New Roman" w:hAnsi="Times New Roman"/>
          <w:sz w:val="20"/>
          <w:szCs w:val="20"/>
          <w:lang w:val="en-US"/>
        </w:rPr>
        <w:t xml:space="preserve"> is measured from the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centre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from the </w:t>
      </w:r>
      <w:r w:rsidRPr="00812B7D">
        <w:rPr>
          <w:rFonts w:ascii="Times New Roman" w:hAnsi="Times New Roman"/>
          <w:sz w:val="20"/>
          <w:szCs w:val="20"/>
          <w:lang w:val="en-US"/>
        </w:rPr>
        <w:t xml:space="preserve">anus to the base of the </w:t>
      </w:r>
      <w:proofErr w:type="spellStart"/>
      <w:r w:rsidRPr="00812B7D">
        <w:rPr>
          <w:rFonts w:ascii="Times New Roman" w:hAnsi="Times New Roman"/>
          <w:sz w:val="20"/>
          <w:szCs w:val="20"/>
          <w:lang w:val="en-US"/>
        </w:rPr>
        <w:t>labio</w:t>
      </w:r>
      <w:proofErr w:type="spellEnd"/>
      <w:r w:rsidRPr="00812B7D">
        <w:rPr>
          <w:rFonts w:ascii="Times New Roman" w:hAnsi="Times New Roman"/>
          <w:sz w:val="20"/>
          <w:szCs w:val="20"/>
          <w:lang w:val="en-US"/>
        </w:rPr>
        <w:t>/scrotal border.</w:t>
      </w:r>
    </w:p>
    <w:p w:rsidR="000C784B" w:rsidRPr="002D23C5" w:rsidRDefault="000C784B" w:rsidP="000C784B">
      <w:pPr>
        <w:spacing w:before="240" w:after="0" w:line="256" w:lineRule="auto"/>
        <w:rPr>
          <w:rFonts w:ascii="Times New Roman" w:hAnsi="Times New Roman"/>
          <w:sz w:val="24"/>
          <w:szCs w:val="24"/>
          <w:lang w:val="en-US"/>
        </w:rPr>
      </w:pPr>
    </w:p>
    <w:p w:rsidR="000C784B" w:rsidRPr="00812B7D" w:rsidRDefault="000C784B" w:rsidP="000C784B">
      <w:pPr>
        <w:spacing w:before="240" w:line="256" w:lineRule="auto"/>
        <w:rPr>
          <w:rFonts w:ascii="Times New Roman" w:hAnsi="Times New Roman"/>
          <w:sz w:val="20"/>
          <w:szCs w:val="20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68"/>
        <w:gridCol w:w="2772"/>
        <w:gridCol w:w="1032"/>
      </w:tblGrid>
      <w:tr w:rsidR="000C784B" w:rsidTr="00506BE2">
        <w:trPr>
          <w:trHeight w:val="290"/>
        </w:trPr>
        <w:tc>
          <w:tcPr>
            <w:tcW w:w="28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Characteristics for babies with typical genital phenotype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10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</w:t>
            </w:r>
          </w:p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0C784B" w:rsidTr="00506BE2">
        <w:trPr>
          <w:trHeight w:val="210"/>
        </w:trPr>
        <w:tc>
          <w:tcPr>
            <w:tcW w:w="286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Total 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Participant</w:t>
            </w:r>
          </w:p>
        </w:tc>
        <w:tc>
          <w:tcPr>
            <w:tcW w:w="103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867</w:t>
            </w:r>
          </w:p>
        </w:tc>
      </w:tr>
      <w:tr w:rsidR="000C784B" w:rsidTr="00506BE2">
        <w:trPr>
          <w:trHeight w:val="315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Sex</w:t>
            </w:r>
            <w:proofErr w:type="spellEnd"/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female</w:t>
            </w:r>
            <w:proofErr w:type="spellEnd"/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431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male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436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Gestational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age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(weeks)</w:t>
            </w: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&lt;28 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44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28-32.9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62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33-36.9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75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&gt;37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686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Birth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weight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(gram)</w:t>
            </w: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&lt;1000 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48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1000-1500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36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1500-2500 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88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2500-4000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619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&gt;4000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76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SGA or AGA</w:t>
            </w: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AGA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811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SGA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56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Age (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months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>)</w:t>
            </w: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0-1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507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1-5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235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6-11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87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12-24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38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Study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noProof/>
                <w:sz w:val="20"/>
                <w:szCs w:val="20"/>
              </w:rPr>
              <w:t>center</w:t>
            </w: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Center 1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222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Center 2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291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Center 3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104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Center 4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122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Center 5 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90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Center 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38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Characteristics for infants with atypical genital </w:t>
            </w:r>
            <w:r>
              <w:rPr>
                <w:rFonts w:eastAsia="Times New Roman" w:cs="Arial"/>
                <w:noProof/>
                <w:sz w:val="20"/>
                <w:szCs w:val="20"/>
                <w:lang w:val="en-US"/>
              </w:rPr>
              <w:t>phenotype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10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</w:p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participant</w:t>
            </w:r>
          </w:p>
        </w:tc>
        <w:tc>
          <w:tcPr>
            <w:tcW w:w="103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111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DSD</w:t>
            </w: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46,XY DSD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46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Sex Chromosome DSD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10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fr-FR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fr-FR"/>
              </w:rPr>
              <w:t>Mild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fr-FR"/>
              </w:rPr>
              <w:t>, non-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fr-FR"/>
              </w:rPr>
              <w:t>specific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fr-FR"/>
              </w:rPr>
              <w:t>undermasculinization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fr-FR"/>
              </w:rPr>
              <w:t>*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sz w:val="20"/>
                <w:szCs w:val="20"/>
                <w:lang w:val="en-GB"/>
              </w:rPr>
              <w:t>45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46,XX DSD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sz w:val="20"/>
                <w:szCs w:val="20"/>
                <w:lang w:val="en-GB"/>
              </w:rPr>
              <w:t>10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Study </w:t>
            </w:r>
            <w:r>
              <w:rPr>
                <w:rFonts w:eastAsia="Times New Roman" w:cs="Arial"/>
                <w:noProof/>
                <w:sz w:val="20"/>
                <w:szCs w:val="20"/>
                <w:lang w:val="en-US"/>
              </w:rPr>
              <w:t>center</w:t>
            </w: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</w:rPr>
              <w:t>Center 1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sz w:val="20"/>
                <w:szCs w:val="20"/>
                <w:lang w:val="en-GB"/>
              </w:rPr>
              <w:t>36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</w:rPr>
              <w:t>Center 6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sz w:val="20"/>
                <w:szCs w:val="20"/>
                <w:lang w:val="en-GB"/>
              </w:rPr>
              <w:t>11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277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</w:rPr>
              <w:t>Center 7</w:t>
            </w:r>
          </w:p>
        </w:tc>
        <w:tc>
          <w:tcPr>
            <w:tcW w:w="1032" w:type="dxa"/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sz w:val="20"/>
                <w:szCs w:val="20"/>
                <w:lang w:val="en-GB"/>
              </w:rPr>
              <w:t>17</w:t>
            </w:r>
          </w:p>
        </w:tc>
      </w:tr>
      <w:tr w:rsidR="000C784B" w:rsidTr="00506BE2">
        <w:trPr>
          <w:trHeight w:val="290"/>
        </w:trPr>
        <w:tc>
          <w:tcPr>
            <w:tcW w:w="28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</w:rPr>
              <w:t>Center 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C784B" w:rsidRDefault="000C784B" w:rsidP="00506BE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sz w:val="20"/>
                <w:szCs w:val="20"/>
                <w:lang w:val="en-GB"/>
              </w:rPr>
              <w:t>47</w:t>
            </w:r>
          </w:p>
        </w:tc>
      </w:tr>
    </w:tbl>
    <w:p w:rsidR="000C784B" w:rsidRDefault="000C784B" w:rsidP="000C784B">
      <w:pPr>
        <w:spacing w:before="240" w:after="0" w:line="240" w:lineRule="auto"/>
        <w:rPr>
          <w:rFonts w:ascii="Times New Roman" w:eastAsia="Times New Roman" w:hAnsi="Times New Roman"/>
          <w:sz w:val="24"/>
          <w:lang w:val="en-GB"/>
        </w:rPr>
      </w:pPr>
      <w:r>
        <w:rPr>
          <w:rFonts w:ascii="Times New Roman" w:eastAsia="Times New Roman" w:hAnsi="Times New Roman"/>
          <w:b/>
          <w:sz w:val="24"/>
          <w:lang w:val="en-GB"/>
        </w:rPr>
        <w:t>Supplemental t</w:t>
      </w:r>
      <w:r>
        <w:rPr>
          <w:rFonts w:ascii="Times New Roman" w:eastAsia="Times New Roman" w:hAnsi="Times New Roman"/>
          <w:b/>
          <w:sz w:val="24"/>
          <w:lang w:val="en-GB"/>
        </w:rPr>
        <w:t>able 3.</w:t>
      </w:r>
      <w:r>
        <w:rPr>
          <w:rFonts w:ascii="Times New Roman" w:eastAsia="Times New Roman" w:hAnsi="Times New Roman"/>
          <w:sz w:val="24"/>
          <w:lang w:val="en-GB"/>
        </w:rPr>
        <w:t xml:space="preserve"> Participant characteristics</w:t>
      </w:r>
    </w:p>
    <w:p w:rsidR="000C784B" w:rsidRDefault="000C784B" w:rsidP="000C784B">
      <w:pPr>
        <w:spacing w:after="0" w:line="240" w:lineRule="auto"/>
        <w:rPr>
          <w:rFonts w:ascii="Times New Roman" w:eastAsia="Times New Roman" w:hAnsi="Times New Roman"/>
          <w:sz w:val="24"/>
          <w:lang w:val="en-GB"/>
        </w:rPr>
      </w:pPr>
      <w:r>
        <w:rPr>
          <w:rFonts w:ascii="Times New Roman" w:eastAsia="Times New Roman" w:hAnsi="Times New Roman"/>
          <w:sz w:val="24"/>
          <w:lang w:val="en-US"/>
        </w:rPr>
        <w:t>Multicenter study for validation of  EGS and correlation between EGS and  AGD-ratio</w:t>
      </w:r>
      <w:r>
        <w:rPr>
          <w:rFonts w:ascii="Times New Roman" w:eastAsia="Times New Roman" w:hAnsi="Times New Roman"/>
          <w:sz w:val="24"/>
          <w:lang w:val="en-GB"/>
        </w:rPr>
        <w:t xml:space="preserve"> </w:t>
      </w:r>
    </w:p>
    <w:p w:rsidR="000C784B" w:rsidRDefault="000C784B" w:rsidP="000C784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en-GB"/>
        </w:rPr>
      </w:pPr>
      <w:r>
        <w:rPr>
          <w:rFonts w:ascii="Times New Roman" w:eastAsia="Times New Roman" w:hAnsi="Times New Roman"/>
          <w:sz w:val="20"/>
          <w:szCs w:val="20"/>
          <w:lang w:val="en-GB"/>
        </w:rPr>
        <w:t>Abbreviations: SGA: small for gestational age, AGA: appropriate for gestational age</w:t>
      </w:r>
    </w:p>
    <w:p w:rsidR="000C784B" w:rsidRDefault="000C784B" w:rsidP="000C784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en-GB"/>
        </w:rPr>
      </w:pPr>
      <w:r>
        <w:rPr>
          <w:rFonts w:ascii="Times New Roman" w:eastAsia="Times New Roman" w:hAnsi="Times New Roman"/>
          <w:sz w:val="20"/>
          <w:szCs w:val="20"/>
          <w:lang w:val="en-GB"/>
        </w:rPr>
        <w:t xml:space="preserve">* Mild, </w:t>
      </w:r>
      <w:r>
        <w:rPr>
          <w:rFonts w:ascii="Times New Roman" w:eastAsia="Times New Roman" w:hAnsi="Times New Roman"/>
          <w:noProof/>
          <w:sz w:val="20"/>
          <w:szCs w:val="20"/>
          <w:lang w:val="en-GB"/>
        </w:rPr>
        <w:t>non-specific</w:t>
      </w:r>
      <w:r>
        <w:rPr>
          <w:rFonts w:ascii="Times New Roman" w:eastAsia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eastAsia="Times New Roman" w:hAnsi="Times New Roman"/>
          <w:noProof/>
          <w:sz w:val="20"/>
          <w:szCs w:val="20"/>
          <w:lang w:val="en-GB"/>
        </w:rPr>
        <w:t>undermasculinization</w:t>
      </w:r>
      <w:r>
        <w:rPr>
          <w:rFonts w:ascii="Times New Roman" w:eastAsia="Times New Roman" w:hAnsi="Times New Roman"/>
          <w:sz w:val="20"/>
          <w:szCs w:val="20"/>
          <w:lang w:val="en-GB"/>
        </w:rPr>
        <w:t xml:space="preserve">  relates  to male babies  with isolated cryptorchidism or mild hypospadias</w:t>
      </w:r>
    </w:p>
    <w:p w:rsidR="000C784B" w:rsidRDefault="000C784B" w:rsidP="000C784B">
      <w:pPr>
        <w:rPr>
          <w:rFonts w:ascii="Times New Roman" w:eastAsia="Times New Roman" w:hAnsi="Times New Roman"/>
          <w:sz w:val="20"/>
          <w:szCs w:val="20"/>
          <w:lang w:val="en-US"/>
        </w:rPr>
      </w:pPr>
      <w:r>
        <w:rPr>
          <w:rFonts w:ascii="Times New Roman" w:eastAsia="Times New Roman" w:hAnsi="Times New Roman"/>
          <w:sz w:val="20"/>
          <w:szCs w:val="20"/>
          <w:lang w:val="en-GB"/>
        </w:rPr>
        <w:br w:type="page"/>
      </w:r>
    </w:p>
    <w:tbl>
      <w:tblPr>
        <w:tblStyle w:val="PlainTable21"/>
        <w:tblW w:w="7623" w:type="dxa"/>
        <w:tblLayout w:type="fixed"/>
        <w:tblLook w:val="0000" w:firstRow="0" w:lastRow="0" w:firstColumn="0" w:lastColumn="0" w:noHBand="0" w:noVBand="0"/>
      </w:tblPr>
      <w:tblGrid>
        <w:gridCol w:w="1644"/>
        <w:gridCol w:w="1691"/>
        <w:gridCol w:w="2330"/>
        <w:gridCol w:w="993"/>
        <w:gridCol w:w="965"/>
      </w:tblGrid>
      <w:tr w:rsidR="000C784B" w:rsidRPr="007B4A4A" w:rsidTr="00506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0C784B" w:rsidRPr="007B4A4A" w:rsidRDefault="000C784B" w:rsidP="00506BE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sz w:val="20"/>
                <w:szCs w:val="20"/>
              </w:rPr>
            </w:pPr>
            <w:r w:rsidRPr="00CE45C2">
              <w:rPr>
                <w:rFonts w:cs="Arial"/>
                <w:sz w:val="20"/>
                <w:szCs w:val="20"/>
                <w:lang w:val="en-US"/>
              </w:rPr>
              <w:t xml:space="preserve">      </w:t>
            </w:r>
            <w:r w:rsidRPr="00CE45C2">
              <w:rPr>
                <w:rFonts w:cs="Arial"/>
                <w:sz w:val="20"/>
                <w:szCs w:val="20"/>
              </w:rPr>
              <w:t>EGS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  <w:tcBorders>
              <w:top w:val="single" w:sz="12" w:space="0" w:color="auto"/>
              <w:bottom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</w:t>
            </w:r>
            <w:r w:rsidRPr="00CE45C2">
              <w:rPr>
                <w:rFonts w:cs="Arial"/>
                <w:sz w:val="20"/>
                <w:szCs w:val="20"/>
              </w:rPr>
              <w:t>EMS</w:t>
            </w:r>
          </w:p>
        </w:tc>
      </w:tr>
      <w:tr w:rsidR="000C784B" w:rsidRPr="007B4A4A" w:rsidTr="00506BE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vMerge w:val="restart"/>
            <w:tcBorders>
              <w:top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Spearman's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E45C2">
              <w:rPr>
                <w:rFonts w:cstheme="minorHAnsi"/>
                <w:sz w:val="20"/>
                <w:szCs w:val="20"/>
              </w:rPr>
              <w:t>rho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  <w:vMerge w:val="restart"/>
            <w:tcBorders>
              <w:top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cstheme="minorHAnsi"/>
                <w:sz w:val="20"/>
                <w:szCs w:val="20"/>
              </w:rPr>
            </w:pPr>
            <w:r w:rsidRPr="00CE45C2">
              <w:rPr>
                <w:rFonts w:cstheme="minorHAnsi"/>
                <w:sz w:val="20"/>
                <w:szCs w:val="20"/>
              </w:rPr>
              <w:t xml:space="preserve">Ratio </w:t>
            </w:r>
            <w:proofErr w:type="spellStart"/>
            <w:r w:rsidRPr="00CE45C2">
              <w:rPr>
                <w:rFonts w:cstheme="minorHAnsi"/>
                <w:sz w:val="20"/>
                <w:szCs w:val="20"/>
              </w:rPr>
              <w:t>AGDl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>/u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  <w:tcBorders>
              <w:top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Correlation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E45C2">
              <w:rPr>
                <w:rFonts w:cstheme="minorHAnsi"/>
                <w:sz w:val="20"/>
                <w:szCs w:val="20"/>
              </w:rPr>
              <w:t>Coefficient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  <w:tcBorders>
              <w:top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 xml:space="preserve"> 0.19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  <w:tcBorders>
              <w:top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0.88</w:t>
            </w:r>
          </w:p>
        </w:tc>
      </w:tr>
      <w:tr w:rsidR="000C784B" w:rsidRPr="007B4A4A" w:rsidTr="00506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vMerge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  <w:vMerge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Sig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&lt;0.05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0.09</w:t>
            </w:r>
          </w:p>
        </w:tc>
      </w:tr>
      <w:tr w:rsidR="000C784B" w:rsidRPr="007B4A4A" w:rsidTr="00506BE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vMerge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  <w:vMerge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r w:rsidRPr="00CE45C2">
              <w:rPr>
                <w:rFonts w:cstheme="minorHAnsi"/>
                <w:sz w:val="20"/>
                <w:szCs w:val="20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243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243</w:t>
            </w:r>
          </w:p>
        </w:tc>
      </w:tr>
      <w:tr w:rsidR="000C784B" w:rsidRPr="007B4A4A" w:rsidTr="00506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AGDl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Correlation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E45C2">
              <w:rPr>
                <w:rFonts w:cstheme="minorHAnsi"/>
                <w:sz w:val="20"/>
                <w:szCs w:val="20"/>
              </w:rPr>
              <w:t>Coefficient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0.29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0.2</w:t>
            </w:r>
          </w:p>
        </w:tc>
      </w:tr>
      <w:tr w:rsidR="000C784B" w:rsidRPr="007B4A4A" w:rsidTr="00506BE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Sig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&lt;0.05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&lt;0.05</w:t>
            </w:r>
          </w:p>
        </w:tc>
      </w:tr>
      <w:tr w:rsidR="000C784B" w:rsidRPr="007B4A4A" w:rsidTr="00506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r w:rsidRPr="00CE45C2">
              <w:rPr>
                <w:rFonts w:cstheme="minorHAnsi"/>
                <w:sz w:val="20"/>
                <w:szCs w:val="20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243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243</w:t>
            </w:r>
          </w:p>
        </w:tc>
      </w:tr>
      <w:tr w:rsidR="000C784B" w:rsidRPr="007B4A4A" w:rsidTr="00506BE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AGDu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Correlation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E45C2">
              <w:rPr>
                <w:rFonts w:cstheme="minorHAnsi"/>
                <w:sz w:val="20"/>
                <w:szCs w:val="20"/>
              </w:rPr>
              <w:t>Coefficient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0.23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0.23</w:t>
            </w:r>
          </w:p>
        </w:tc>
      </w:tr>
      <w:tr w:rsidR="000C784B" w:rsidRPr="007B4A4A" w:rsidTr="00506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proofErr w:type="spellStart"/>
            <w:r w:rsidRPr="00CE45C2">
              <w:rPr>
                <w:rFonts w:cstheme="minorHAnsi"/>
                <w:sz w:val="20"/>
                <w:szCs w:val="20"/>
              </w:rPr>
              <w:t>Sig</w:t>
            </w:r>
            <w:proofErr w:type="spellEnd"/>
            <w:r w:rsidRPr="00CE45C2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&lt;0.05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&lt;0.05</w:t>
            </w:r>
          </w:p>
        </w:tc>
      </w:tr>
      <w:tr w:rsidR="000C784B" w:rsidRPr="007B4A4A" w:rsidTr="00506BE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tcBorders>
              <w:bottom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color w:val="010205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91" w:type="dxa"/>
            <w:tcBorders>
              <w:bottom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rPr>
                <w:rFonts w:cstheme="minorHAnsi"/>
                <w:color w:val="010205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0" w:type="dxa"/>
            <w:tcBorders>
              <w:bottom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theme="minorHAnsi"/>
                <w:sz w:val="20"/>
                <w:szCs w:val="20"/>
              </w:rPr>
            </w:pPr>
            <w:r w:rsidRPr="00CE45C2">
              <w:rPr>
                <w:rFonts w:cstheme="minorHAnsi"/>
                <w:sz w:val="20"/>
                <w:szCs w:val="20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93" w:type="dxa"/>
            <w:tcBorders>
              <w:bottom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243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  <w:tcBorders>
              <w:bottom w:val="single" w:sz="12" w:space="0" w:color="auto"/>
            </w:tcBorders>
          </w:tcPr>
          <w:p w:rsidR="000C784B" w:rsidRPr="00CE45C2" w:rsidRDefault="000C784B" w:rsidP="00506B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theme="minorHAnsi"/>
                <w:color w:val="010205"/>
                <w:sz w:val="20"/>
                <w:szCs w:val="20"/>
              </w:rPr>
            </w:pPr>
            <w:r w:rsidRPr="00CE45C2">
              <w:rPr>
                <w:rFonts w:cstheme="minorHAnsi"/>
                <w:color w:val="010205"/>
                <w:sz w:val="20"/>
                <w:szCs w:val="20"/>
              </w:rPr>
              <w:t>243</w:t>
            </w:r>
          </w:p>
        </w:tc>
      </w:tr>
    </w:tbl>
    <w:p w:rsidR="000C784B" w:rsidRPr="007B4A4A" w:rsidRDefault="000C784B" w:rsidP="000C784B">
      <w:pPr>
        <w:rPr>
          <w:rFonts w:eastAsia="Times New Roman"/>
          <w:sz w:val="20"/>
          <w:szCs w:val="20"/>
          <w:lang w:val="en-US"/>
        </w:rPr>
      </w:pPr>
    </w:p>
    <w:p w:rsidR="000C784B" w:rsidRDefault="000C784B" w:rsidP="000C784B">
      <w:pPr>
        <w:spacing w:after="0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Supplemental t</w:t>
      </w:r>
      <w:bookmarkStart w:id="0" w:name="_GoBack"/>
      <w:bookmarkEnd w:id="0"/>
      <w:r w:rsidRPr="007636D0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able </w:t>
      </w:r>
      <w:r>
        <w:rPr>
          <w:rFonts w:ascii="Times New Roman" w:eastAsia="Times New Roman" w:hAnsi="Times New Roman"/>
          <w:b/>
          <w:sz w:val="24"/>
          <w:szCs w:val="24"/>
          <w:lang w:val="en-US"/>
        </w:rPr>
        <w:t>4</w:t>
      </w:r>
      <w:r w:rsidRPr="007636D0">
        <w:rPr>
          <w:rFonts w:ascii="Times New Roman" w:eastAsia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r w:rsidRPr="007636D0">
        <w:rPr>
          <w:rFonts w:ascii="Times New Roman" w:eastAsia="Times New Roman" w:hAnsi="Times New Roman"/>
          <w:sz w:val="24"/>
          <w:szCs w:val="24"/>
          <w:lang w:val="en-US"/>
        </w:rPr>
        <w:t xml:space="preserve">Correlation 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between ratio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AGDl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>/u</w:t>
      </w:r>
      <w:r w:rsidRPr="007636D0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7636D0">
        <w:rPr>
          <w:rFonts w:ascii="Times New Roman" w:eastAsia="Times New Roman" w:hAnsi="Times New Roman"/>
          <w:sz w:val="24"/>
          <w:szCs w:val="24"/>
          <w:lang w:val="en-US"/>
        </w:rPr>
        <w:t>AGD</w:t>
      </w:r>
      <w:r>
        <w:rPr>
          <w:rFonts w:ascii="Times New Roman" w:eastAsia="Times New Roman" w:hAnsi="Times New Roman"/>
          <w:sz w:val="24"/>
          <w:szCs w:val="24"/>
          <w:lang w:val="en-US"/>
        </w:rPr>
        <w:t>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7636D0">
        <w:rPr>
          <w:rFonts w:ascii="Times New Roman" w:eastAsia="Times New Roman" w:hAnsi="Times New Roman"/>
          <w:sz w:val="24"/>
          <w:szCs w:val="24"/>
          <w:lang w:val="en-US"/>
        </w:rPr>
        <w:t>AGD</w:t>
      </w:r>
      <w:r>
        <w:rPr>
          <w:rFonts w:ascii="Times New Roman" w:eastAsia="Times New Roman" w:hAnsi="Times New Roman"/>
          <w:sz w:val="24"/>
          <w:szCs w:val="24"/>
          <w:lang w:val="en-US"/>
        </w:rPr>
        <w:t>u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and </w:t>
      </w:r>
      <w:r w:rsidRPr="007636D0">
        <w:rPr>
          <w:rFonts w:ascii="Times New Roman" w:eastAsia="Times New Roman" w:hAnsi="Times New Roman"/>
          <w:sz w:val="24"/>
          <w:szCs w:val="24"/>
          <w:lang w:val="en-US"/>
        </w:rPr>
        <w:t>EGS and EMS in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7636D0">
        <w:rPr>
          <w:rFonts w:ascii="Times New Roman" w:eastAsia="Times New Roman" w:hAnsi="Times New Roman"/>
          <w:sz w:val="24"/>
          <w:szCs w:val="24"/>
          <w:lang w:val="en-US"/>
        </w:rPr>
        <w:t>neonates with typical male phenotype</w:t>
      </w:r>
    </w:p>
    <w:p w:rsidR="000C784B" w:rsidRPr="00812B7D" w:rsidRDefault="000C784B" w:rsidP="000C784B">
      <w:pPr>
        <w:spacing w:after="0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eastAsia="Times New Roman" w:hAnsi="Times New Roman"/>
          <w:sz w:val="20"/>
          <w:szCs w:val="20"/>
          <w:lang w:val="en-US"/>
        </w:rPr>
        <w:t xml:space="preserve">Abbreviations: AGD: </w:t>
      </w:r>
      <w:proofErr w:type="spellStart"/>
      <w:r>
        <w:rPr>
          <w:rFonts w:ascii="Times New Roman" w:eastAsia="Times New Roman" w:hAnsi="Times New Roman"/>
          <w:sz w:val="20"/>
          <w:szCs w:val="20"/>
          <w:lang w:val="en-US"/>
        </w:rPr>
        <w:t>anogenital</w:t>
      </w:r>
      <w:proofErr w:type="spellEnd"/>
      <w:r>
        <w:rPr>
          <w:rFonts w:ascii="Times New Roman" w:eastAsia="Times New Roman" w:hAnsi="Times New Roman"/>
          <w:sz w:val="20"/>
          <w:szCs w:val="20"/>
          <w:lang w:val="en-US"/>
        </w:rPr>
        <w:t xml:space="preserve"> distance</w:t>
      </w:r>
      <w:r w:rsidRPr="00812B7D">
        <w:rPr>
          <w:rFonts w:ascii="Times New Roman" w:eastAsia="Times New Roman" w:hAnsi="Times New Roman"/>
          <w:sz w:val="20"/>
          <w:szCs w:val="20"/>
          <w:lang w:val="en-US"/>
        </w:rPr>
        <w:t xml:space="preserve">, </w:t>
      </w:r>
      <w:proofErr w:type="spellStart"/>
      <w:r>
        <w:rPr>
          <w:rFonts w:ascii="Times New Roman" w:eastAsia="Times New Roman" w:hAnsi="Times New Roman"/>
          <w:sz w:val="20"/>
          <w:szCs w:val="20"/>
          <w:lang w:val="en-US"/>
        </w:rPr>
        <w:t>AGDu</w:t>
      </w:r>
      <w:proofErr w:type="spellEnd"/>
      <w:r>
        <w:rPr>
          <w:rFonts w:ascii="Times New Roman" w:eastAsia="Times New Roman" w:hAnsi="Times New Roman"/>
          <w:sz w:val="20"/>
          <w:szCs w:val="20"/>
          <w:lang w:val="en-US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AGDupper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): </w:t>
      </w:r>
      <w:r w:rsidRPr="00812B7D">
        <w:rPr>
          <w:rFonts w:ascii="Times New Roman" w:hAnsi="Times New Roman"/>
          <w:sz w:val="20"/>
          <w:szCs w:val="20"/>
          <w:lang w:val="en-US"/>
        </w:rPr>
        <w:t xml:space="preserve">measured from the </w:t>
      </w:r>
      <w:proofErr w:type="spellStart"/>
      <w:r w:rsidRPr="00812B7D">
        <w:rPr>
          <w:rFonts w:ascii="Times New Roman" w:hAnsi="Times New Roman"/>
          <w:sz w:val="20"/>
          <w:szCs w:val="20"/>
          <w:lang w:val="en-US"/>
        </w:rPr>
        <w:t>centre</w:t>
      </w:r>
      <w:proofErr w:type="spellEnd"/>
      <w:r w:rsidRPr="00812B7D">
        <w:rPr>
          <w:rFonts w:ascii="Times New Roman" w:hAnsi="Times New Roman"/>
          <w:sz w:val="20"/>
          <w:szCs w:val="20"/>
          <w:lang w:val="en-US"/>
        </w:rPr>
        <w:t xml:space="preserve"> of the anus to the anterior base o</w:t>
      </w:r>
      <w:r>
        <w:rPr>
          <w:rFonts w:ascii="Times New Roman" w:hAnsi="Times New Roman"/>
          <w:sz w:val="20"/>
          <w:szCs w:val="20"/>
          <w:lang w:val="en-US"/>
        </w:rPr>
        <w:t xml:space="preserve">f the genital tubercle, and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AGDl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AGDlower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): </w:t>
      </w:r>
      <w:r w:rsidRPr="00812B7D">
        <w:rPr>
          <w:rFonts w:ascii="Times New Roman" w:hAnsi="Times New Roman"/>
          <w:sz w:val="20"/>
          <w:szCs w:val="20"/>
          <w:lang w:val="en-US"/>
        </w:rPr>
        <w:t xml:space="preserve">measured from the anus to the base of the </w:t>
      </w:r>
      <w:proofErr w:type="spellStart"/>
      <w:r w:rsidRPr="00812B7D">
        <w:rPr>
          <w:rFonts w:ascii="Times New Roman" w:hAnsi="Times New Roman"/>
          <w:sz w:val="20"/>
          <w:szCs w:val="20"/>
          <w:lang w:val="en-US"/>
        </w:rPr>
        <w:t>labio</w:t>
      </w:r>
      <w:proofErr w:type="spellEnd"/>
      <w:r w:rsidRPr="00812B7D">
        <w:rPr>
          <w:rFonts w:ascii="Times New Roman" w:hAnsi="Times New Roman"/>
          <w:sz w:val="20"/>
          <w:szCs w:val="20"/>
          <w:lang w:val="en-US"/>
        </w:rPr>
        <w:t>/scrotal border.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AGDl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/u: lower /upper AGD ratio </w:t>
      </w:r>
    </w:p>
    <w:p w:rsidR="000C784B" w:rsidRPr="00812B7D" w:rsidRDefault="000C784B" w:rsidP="000C784B">
      <w:pPr>
        <w:spacing w:after="0"/>
        <w:rPr>
          <w:rFonts w:ascii="Times New Roman" w:hAnsi="Times New Roman"/>
          <w:sz w:val="20"/>
          <w:szCs w:val="20"/>
          <w:lang w:val="en-US"/>
        </w:rPr>
      </w:pPr>
    </w:p>
    <w:p w:rsidR="000C784B" w:rsidRPr="00C5643B" w:rsidRDefault="000C784B" w:rsidP="000C784B">
      <w:pPr>
        <w:rPr>
          <w:lang w:val="en-US"/>
        </w:rPr>
      </w:pPr>
    </w:p>
    <w:p w:rsidR="000C784B" w:rsidRPr="000C784B" w:rsidRDefault="000C784B">
      <w:pPr>
        <w:rPr>
          <w:lang w:val="en-US"/>
        </w:rPr>
      </w:pPr>
    </w:p>
    <w:sectPr w:rsidR="000C784B" w:rsidRPr="000C7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8DF"/>
    <w:rsid w:val="000C784B"/>
    <w:rsid w:val="006E58DF"/>
    <w:rsid w:val="00E6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6797C88E"/>
  <w15:chartTrackingRefBased/>
  <w15:docId w15:val="{AFCB3E5A-5FA5-4DE2-A284-4414CBB9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784B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table" w:customStyle="1" w:styleId="PlainTable21">
    <w:name w:val="Plain Table 21"/>
    <w:basedOn w:val="TableNormal"/>
    <w:uiPriority w:val="42"/>
    <w:rsid w:val="000C784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880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van der Straaten</dc:creator>
  <cp:keywords/>
  <dc:description/>
  <cp:lastModifiedBy>Saskia van der Straaten</cp:lastModifiedBy>
  <cp:revision>2</cp:revision>
  <dcterms:created xsi:type="dcterms:W3CDTF">2019-09-20T18:01:00Z</dcterms:created>
  <dcterms:modified xsi:type="dcterms:W3CDTF">2019-09-20T18:01:00Z</dcterms:modified>
</cp:coreProperties>
</file>