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C173F" w14:textId="77777777" w:rsidR="00123530" w:rsidRPr="004851D2" w:rsidRDefault="00123530" w:rsidP="00123530">
      <w:pPr>
        <w:spacing w:line="480" w:lineRule="auto"/>
        <w:ind w:left="810" w:hanging="810"/>
        <w:rPr>
          <w:rFonts w:ascii="Times New Roman" w:hAnsi="Times New Roman" w:cs="Times New Roman"/>
        </w:rPr>
      </w:pPr>
      <w:r w:rsidRPr="004851D2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4851D2">
        <w:rPr>
          <w:rFonts w:ascii="Times New Roman" w:hAnsi="Times New Roman" w:cs="Times New Roman"/>
          <w:b/>
        </w:rPr>
        <w:t>1</w:t>
      </w:r>
      <w:r w:rsidRPr="00485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4851D2">
        <w:rPr>
          <w:rFonts w:ascii="Times New Roman" w:hAnsi="Times New Roman" w:cs="Times New Roman"/>
        </w:rPr>
        <w:t xml:space="preserve">anked set of candidate models predicting song </w:t>
      </w:r>
      <w:r>
        <w:rPr>
          <w:rFonts w:ascii="Times New Roman" w:hAnsi="Times New Roman" w:cs="Times New Roman"/>
        </w:rPr>
        <w:t xml:space="preserve">sparrow song </w:t>
      </w:r>
      <w:r w:rsidRPr="004851D2">
        <w:rPr>
          <w:rFonts w:ascii="Times New Roman" w:hAnsi="Times New Roman" w:cs="Times New Roman"/>
        </w:rPr>
        <w:t xml:space="preserve">repertoire </w:t>
      </w:r>
      <w:r>
        <w:rPr>
          <w:rFonts w:ascii="Times New Roman" w:hAnsi="Times New Roman" w:cs="Times New Roman"/>
        </w:rPr>
        <w:t xml:space="preserve">size, after excluding a potentially influential </w:t>
      </w:r>
      <w:proofErr w:type="spellStart"/>
      <w:r>
        <w:rPr>
          <w:rFonts w:ascii="Times New Roman" w:hAnsi="Times New Roman" w:cs="Times New Roman"/>
        </w:rPr>
        <w:t>datapoint</w:t>
      </w:r>
      <w:proofErr w:type="spellEnd"/>
      <w:r>
        <w:rPr>
          <w:rFonts w:ascii="Times New Roman" w:hAnsi="Times New Roman" w:cs="Times New Roman"/>
        </w:rPr>
        <w:t xml:space="preserve"> with low repertoire size and high MHC diversity (upper left corner of figure 1)</w:t>
      </w:r>
      <w:r w:rsidRPr="004851D2">
        <w:rPr>
          <w:rFonts w:ascii="Times New Roman" w:hAnsi="Times New Roman" w:cs="Times New Roman"/>
        </w:rPr>
        <w:t>. Predictor</w:t>
      </w:r>
      <w:r>
        <w:rPr>
          <w:rFonts w:ascii="Times New Roman" w:hAnsi="Times New Roman" w:cs="Times New Roman"/>
        </w:rPr>
        <w:t>s</w:t>
      </w:r>
      <w:r w:rsidRPr="00485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</w:t>
      </w:r>
      <w:r w:rsidRPr="00485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number of </w:t>
      </w:r>
      <w:r w:rsidRPr="004851D2">
        <w:rPr>
          <w:rFonts w:ascii="Times New Roman" w:hAnsi="Times New Roman" w:cs="Times New Roman"/>
        </w:rPr>
        <w:t xml:space="preserve">MHC </w:t>
      </w:r>
      <w:proofErr w:type="spellStart"/>
      <w:r w:rsidRPr="004851D2">
        <w:rPr>
          <w:rFonts w:ascii="Times New Roman" w:hAnsi="Times New Roman" w:cs="Times New Roman"/>
        </w:rPr>
        <w:t>superallele</w:t>
      </w:r>
      <w:r>
        <w:rPr>
          <w:rFonts w:ascii="Times New Roman" w:hAnsi="Times New Roman" w:cs="Times New Roman"/>
        </w:rPr>
        <w:t>s</w:t>
      </w:r>
      <w:proofErr w:type="spellEnd"/>
      <w:r w:rsidRPr="00485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4851D2">
        <w:rPr>
          <w:rFonts w:ascii="Times New Roman" w:hAnsi="Times New Roman" w:cs="Times New Roman"/>
        </w:rPr>
        <w:t xml:space="preserve">squared </w:t>
      </w:r>
      <w:r>
        <w:rPr>
          <w:rFonts w:ascii="Times New Roman" w:hAnsi="Times New Roman" w:cs="Times New Roman"/>
        </w:rPr>
        <w:t xml:space="preserve">number of </w:t>
      </w:r>
      <w:r w:rsidRPr="004851D2">
        <w:rPr>
          <w:rFonts w:ascii="Times New Roman" w:hAnsi="Times New Roman" w:cs="Times New Roman"/>
        </w:rPr>
        <w:t xml:space="preserve">MHC </w:t>
      </w:r>
      <w:proofErr w:type="spellStart"/>
      <w:r w:rsidRPr="004851D2">
        <w:rPr>
          <w:rFonts w:ascii="Times New Roman" w:hAnsi="Times New Roman" w:cs="Times New Roman"/>
        </w:rPr>
        <w:t>superallele</w:t>
      </w:r>
      <w:r>
        <w:rPr>
          <w:rFonts w:ascii="Times New Roman" w:hAnsi="Times New Roman" w:cs="Times New Roman"/>
        </w:rPr>
        <w:t>s</w:t>
      </w:r>
      <w:proofErr w:type="spellEnd"/>
      <w:r w:rsidRPr="004851D2">
        <w:rPr>
          <w:rFonts w:ascii="Times New Roman" w:hAnsi="Times New Roman" w:cs="Times New Roman"/>
        </w:rPr>
        <w:t xml:space="preserve">. </w:t>
      </w:r>
    </w:p>
    <w:p w14:paraId="70748F8B" w14:textId="77777777" w:rsidR="00123530" w:rsidRPr="004851D2" w:rsidRDefault="00123530" w:rsidP="00123530">
      <w:pPr>
        <w:spacing w:line="480" w:lineRule="auto"/>
        <w:rPr>
          <w:rFonts w:ascii="Times New Roman" w:hAnsi="Times New Roman" w:cs="Times New Roman"/>
        </w:rPr>
      </w:pPr>
    </w:p>
    <w:p w14:paraId="42B3C886" w14:textId="77777777" w:rsidR="00123530" w:rsidRPr="004851D2" w:rsidRDefault="00123530" w:rsidP="00123530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2629" w:tblpY="4681"/>
        <w:tblW w:w="0" w:type="auto"/>
        <w:tblLook w:val="04A0" w:firstRow="1" w:lastRow="0" w:firstColumn="1" w:lastColumn="0" w:noHBand="0" w:noVBand="1"/>
      </w:tblPr>
      <w:tblGrid>
        <w:gridCol w:w="3118"/>
        <w:gridCol w:w="430"/>
        <w:gridCol w:w="883"/>
        <w:gridCol w:w="763"/>
        <w:gridCol w:w="914"/>
        <w:gridCol w:w="1676"/>
      </w:tblGrid>
      <w:tr w:rsidR="00123530" w:rsidRPr="004851D2" w14:paraId="01A5BAB5" w14:textId="77777777" w:rsidTr="000B391F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208E6E" w14:textId="77777777" w:rsidR="00123530" w:rsidRPr="004851D2" w:rsidRDefault="00123530" w:rsidP="000B391F">
            <w:pPr>
              <w:spacing w:line="480" w:lineRule="auto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04CBF5" w14:textId="77777777" w:rsidR="00123530" w:rsidRPr="004851D2" w:rsidRDefault="00123530" w:rsidP="000B391F">
            <w:pPr>
              <w:spacing w:line="480" w:lineRule="auto"/>
              <w:rPr>
                <w:b/>
              </w:rPr>
            </w:pPr>
            <w:proofErr w:type="spellStart"/>
            <w:proofErr w:type="gramStart"/>
            <w:r w:rsidRPr="004851D2">
              <w:rPr>
                <w:b/>
              </w:rPr>
              <w:t>df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11401C" w14:textId="77777777" w:rsidR="00123530" w:rsidRPr="004851D2" w:rsidRDefault="00123530" w:rsidP="000B391F">
            <w:pPr>
              <w:spacing w:line="480" w:lineRule="auto"/>
              <w:rPr>
                <w:b/>
              </w:rPr>
            </w:pPr>
            <w:proofErr w:type="spellStart"/>
            <w:proofErr w:type="gramStart"/>
            <w:r w:rsidRPr="004851D2">
              <w:rPr>
                <w:b/>
              </w:rPr>
              <w:t>logLik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D53E4C" w14:textId="77777777" w:rsidR="00123530" w:rsidRPr="004851D2" w:rsidRDefault="00123530" w:rsidP="000B391F">
            <w:pPr>
              <w:spacing w:line="480" w:lineRule="auto"/>
              <w:rPr>
                <w:b/>
              </w:rPr>
            </w:pPr>
            <w:proofErr w:type="spellStart"/>
            <w:r w:rsidRPr="004851D2">
              <w:rPr>
                <w:b/>
              </w:rPr>
              <w:t>AICc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C3D86D" w14:textId="77777777" w:rsidR="00123530" w:rsidRPr="004851D2" w:rsidRDefault="00123530" w:rsidP="000B391F">
            <w:pPr>
              <w:spacing w:line="480" w:lineRule="auto"/>
              <w:rPr>
                <w:b/>
              </w:rPr>
            </w:pPr>
            <w:proofErr w:type="spellStart"/>
            <w:r w:rsidRPr="004851D2">
              <w:rPr>
                <w:b/>
              </w:rPr>
              <w:t>ΔAICc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52C03E" w14:textId="77777777" w:rsidR="00123530" w:rsidRPr="004851D2" w:rsidRDefault="00123530" w:rsidP="000B391F">
            <w:pPr>
              <w:spacing w:line="480" w:lineRule="auto"/>
              <w:rPr>
                <w:b/>
              </w:rPr>
            </w:pPr>
            <w:r w:rsidRPr="004851D2">
              <w:rPr>
                <w:b/>
              </w:rPr>
              <w:t>Model Weight</w:t>
            </w:r>
          </w:p>
        </w:tc>
      </w:tr>
      <w:tr w:rsidR="00123530" w:rsidRPr="004851D2" w14:paraId="539F21F6" w14:textId="77777777" w:rsidTr="000B391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85D5D" w14:textId="52604EE6" w:rsidR="00123530" w:rsidRPr="004851D2" w:rsidRDefault="00BB7B97" w:rsidP="000B391F">
            <w:pPr>
              <w:spacing w:line="480" w:lineRule="auto"/>
            </w:pPr>
            <w:r>
              <w:t>Null: intercept only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2960F" w14:textId="7B0419AB" w:rsidR="00123530" w:rsidRPr="00233450" w:rsidRDefault="00BB7B97" w:rsidP="000B391F">
            <w:pPr>
              <w:spacing w:line="480" w:lineRule="auto"/>
              <w:rPr>
                <w:rFonts w:eastAsiaTheme="minorEastAsia"/>
              </w:rPr>
            </w:pPr>
            <w:r w:rsidRPr="0023345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3915E" w14:textId="6A712D6C" w:rsidR="00123530" w:rsidRPr="00233450" w:rsidRDefault="00233450" w:rsidP="000B391F">
            <w:pPr>
              <w:spacing w:line="480" w:lineRule="auto"/>
              <w:rPr>
                <w:rFonts w:eastAsiaTheme="minorEastAsia"/>
              </w:rPr>
            </w:pPr>
            <w:r w:rsidRPr="00233450">
              <w:rPr>
                <w:rFonts w:eastAsiaTheme="minorEastAsia"/>
              </w:rPr>
              <w:t>-55.7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4CADC5" w14:textId="799112DA" w:rsidR="00123530" w:rsidRPr="00233450" w:rsidRDefault="00233450" w:rsidP="000B391F">
            <w:pPr>
              <w:spacing w:line="480" w:lineRule="auto"/>
              <w:rPr>
                <w:rFonts w:eastAsiaTheme="minorEastAsia"/>
              </w:rPr>
            </w:pPr>
            <w:r>
              <w:t>115.8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34A9D" w14:textId="77777777" w:rsidR="00123530" w:rsidRPr="00233450" w:rsidRDefault="00123530" w:rsidP="000B391F">
            <w:pPr>
              <w:spacing w:line="480" w:lineRule="auto"/>
              <w:rPr>
                <w:rFonts w:eastAsiaTheme="minorEastAsia"/>
              </w:rPr>
            </w:pPr>
            <w:r w:rsidRPr="0023345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24007" w14:textId="3ED5E9E7" w:rsidR="00123530" w:rsidRPr="00233450" w:rsidRDefault="00123530" w:rsidP="000B391F">
            <w:pPr>
              <w:spacing w:line="480" w:lineRule="auto"/>
              <w:rPr>
                <w:rFonts w:eastAsiaTheme="minorEastAsia"/>
              </w:rPr>
            </w:pPr>
            <w:r w:rsidRPr="00233450">
              <w:t>0.</w:t>
            </w:r>
            <w:r w:rsidR="00233450">
              <w:t>50</w:t>
            </w:r>
          </w:p>
        </w:tc>
      </w:tr>
      <w:tr w:rsidR="00123530" w:rsidRPr="004851D2" w14:paraId="6939B721" w14:textId="77777777" w:rsidTr="000B39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B6E8" w14:textId="08EB33C0" w:rsidR="00123530" w:rsidRPr="00233450" w:rsidRDefault="00BB7B97" w:rsidP="000B391F">
            <w:pPr>
              <w:spacing w:line="480" w:lineRule="auto"/>
            </w:pPr>
            <w:r w:rsidRPr="00233450">
              <w:t>Quadratic: #MHC + (#</w:t>
            </w:r>
            <w:proofErr w:type="gramStart"/>
            <w:r w:rsidRPr="00233450">
              <w:t>MHC)</w:t>
            </w:r>
            <w:r w:rsidRPr="002334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3A246" w14:textId="790F3191" w:rsidR="00123530" w:rsidRPr="00233450" w:rsidRDefault="00BB7B97" w:rsidP="000B391F">
            <w:pPr>
              <w:spacing w:line="480" w:lineRule="auto"/>
              <w:rPr>
                <w:rFonts w:eastAsiaTheme="minorEastAsia"/>
              </w:rPr>
            </w:pPr>
            <w:r w:rsidRPr="0023345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0F8D" w14:textId="77777777" w:rsidR="00123530" w:rsidRPr="00233450" w:rsidRDefault="004F2730" w:rsidP="000B391F">
            <w:pPr>
              <w:spacing w:line="480" w:lineRule="auto"/>
              <w:rPr>
                <w:rFonts w:eastAsiaTheme="minorEastAsia"/>
              </w:rPr>
            </w:pPr>
            <w:r w:rsidRPr="00233450">
              <w:t>-53</w:t>
            </w:r>
            <w:r w:rsidR="00123530" w:rsidRPr="00233450">
              <w:t>.</w:t>
            </w:r>
            <w:r w:rsidRPr="0023345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26FF0" w14:textId="77777777" w:rsidR="00123530" w:rsidRPr="00233450" w:rsidRDefault="004F2730" w:rsidP="000B391F">
            <w:pPr>
              <w:spacing w:line="480" w:lineRule="auto"/>
              <w:rPr>
                <w:rFonts w:eastAsiaTheme="minorEastAsia"/>
              </w:rPr>
            </w:pPr>
            <w:r w:rsidRPr="00233450"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0A40" w14:textId="77777777" w:rsidR="00123530" w:rsidRPr="00233450" w:rsidRDefault="004F2730" w:rsidP="000B391F">
            <w:pPr>
              <w:spacing w:line="480" w:lineRule="auto"/>
              <w:rPr>
                <w:rFonts w:eastAsiaTheme="minorEastAsia"/>
              </w:rPr>
            </w:pPr>
            <w:r w:rsidRPr="00233450"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F1EB4" w14:textId="77777777" w:rsidR="00123530" w:rsidRPr="00233450" w:rsidRDefault="00123530" w:rsidP="000B391F">
            <w:pPr>
              <w:spacing w:line="480" w:lineRule="auto"/>
              <w:rPr>
                <w:rFonts w:eastAsiaTheme="minorEastAsia"/>
              </w:rPr>
            </w:pPr>
            <w:r w:rsidRPr="00233450">
              <w:t>0.</w:t>
            </w:r>
            <w:r w:rsidR="004F2730" w:rsidRPr="00233450">
              <w:t>35</w:t>
            </w:r>
          </w:p>
        </w:tc>
      </w:tr>
      <w:tr w:rsidR="00123530" w:rsidRPr="004851D2" w14:paraId="269EAA67" w14:textId="77777777" w:rsidTr="000B391F"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63361B9" w14:textId="77777777" w:rsidR="00123530" w:rsidRPr="00233450" w:rsidRDefault="00123530" w:rsidP="000B391F">
            <w:pPr>
              <w:spacing w:line="480" w:lineRule="auto"/>
            </w:pPr>
            <w:r w:rsidRPr="00233450">
              <w:t>Linear: #MHC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C38F642" w14:textId="77777777" w:rsidR="00123530" w:rsidRPr="00233450" w:rsidRDefault="00123530" w:rsidP="000B391F">
            <w:pPr>
              <w:spacing w:line="480" w:lineRule="auto"/>
              <w:rPr>
                <w:rFonts w:asciiTheme="minorHAnsi" w:eastAsiaTheme="minorEastAsia" w:hAnsiTheme="minorHAnsi" w:cstheme="minorBidi"/>
              </w:rPr>
            </w:pPr>
            <w:r w:rsidRPr="00233450"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04C2C14" w14:textId="1DB55690" w:rsidR="00123530" w:rsidRPr="00233450" w:rsidRDefault="00123530" w:rsidP="000B391F">
            <w:pPr>
              <w:spacing w:line="480" w:lineRule="auto"/>
              <w:rPr>
                <w:rFonts w:asciiTheme="minorHAnsi" w:eastAsiaTheme="minorEastAsia" w:hAnsiTheme="minorHAnsi" w:cstheme="minorBidi"/>
              </w:rPr>
            </w:pPr>
            <w:r w:rsidRPr="00233450">
              <w:t>-</w:t>
            </w:r>
            <w:r w:rsidR="00233450" w:rsidRPr="00233450">
              <w:t>55.6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543B688" w14:textId="6A694F2A" w:rsidR="00123530" w:rsidRPr="00233450" w:rsidRDefault="00233450" w:rsidP="000B391F">
            <w:pPr>
              <w:spacing w:line="480" w:lineRule="auto"/>
              <w:rPr>
                <w:rFonts w:asciiTheme="minorHAnsi" w:eastAsiaTheme="minorEastAsia" w:hAnsiTheme="minorHAnsi" w:cstheme="minorBidi"/>
              </w:rPr>
            </w:pPr>
            <w:r w:rsidRPr="00233450">
              <w:t>118.1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1BE733F" w14:textId="1AB9C929" w:rsidR="00123530" w:rsidRPr="00233450" w:rsidRDefault="00233450" w:rsidP="000B391F">
            <w:pPr>
              <w:spacing w:line="480" w:lineRule="auto"/>
              <w:rPr>
                <w:rFonts w:asciiTheme="minorHAnsi" w:eastAsiaTheme="minorEastAsia" w:hAnsiTheme="minorHAnsi" w:cstheme="minorBidi"/>
              </w:rPr>
            </w:pPr>
            <w:r w:rsidRPr="00233450">
              <w:t>2</w:t>
            </w:r>
            <w:r w:rsidR="00123530" w:rsidRPr="00233450">
              <w:t>.</w:t>
            </w:r>
            <w:r w:rsidRPr="00233450">
              <w:t>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2580AAF" w14:textId="5C245634" w:rsidR="00123530" w:rsidRPr="00233450" w:rsidRDefault="00233450" w:rsidP="000B391F">
            <w:pPr>
              <w:spacing w:line="480" w:lineRule="auto"/>
              <w:rPr>
                <w:rFonts w:asciiTheme="minorHAnsi" w:eastAsiaTheme="minorEastAsia" w:hAnsiTheme="minorHAnsi" w:cstheme="minorBidi"/>
              </w:rPr>
            </w:pPr>
            <w:r w:rsidRPr="00233450">
              <w:t>0.1</w:t>
            </w:r>
            <w:r w:rsidR="00123530" w:rsidRPr="00233450">
              <w:t>5</w:t>
            </w:r>
          </w:p>
        </w:tc>
      </w:tr>
    </w:tbl>
    <w:p w14:paraId="2FFBE831" w14:textId="77777777" w:rsidR="00123530" w:rsidRPr="004851D2" w:rsidRDefault="00123530" w:rsidP="00123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07712C" w14:textId="5546475E" w:rsidR="00123530" w:rsidRPr="004851D2" w:rsidRDefault="00123530" w:rsidP="00123530">
      <w:pPr>
        <w:spacing w:line="480" w:lineRule="auto"/>
        <w:ind w:left="810" w:hanging="810"/>
        <w:rPr>
          <w:rFonts w:ascii="Times New Roman" w:hAnsi="Times New Roman" w:cs="Times New Roman"/>
        </w:rPr>
      </w:pPr>
      <w:r w:rsidRPr="004851D2">
        <w:rPr>
          <w:rFonts w:ascii="Times New Roman" w:hAnsi="Times New Roman" w:cs="Times New Roman"/>
          <w:b/>
        </w:rPr>
        <w:lastRenderedPageBreak/>
        <w:t xml:space="preserve">Table </w:t>
      </w:r>
      <w:r w:rsidR="00B47973">
        <w:rPr>
          <w:rFonts w:ascii="Times New Roman" w:hAnsi="Times New Roman" w:cs="Times New Roman"/>
          <w:b/>
        </w:rPr>
        <w:t>S</w:t>
      </w:r>
      <w:r w:rsidRPr="004851D2">
        <w:rPr>
          <w:rFonts w:ascii="Times New Roman" w:hAnsi="Times New Roman" w:cs="Times New Roman"/>
          <w:b/>
        </w:rPr>
        <w:t>2</w:t>
      </w:r>
      <w:r w:rsidRPr="004851D2">
        <w:rPr>
          <w:rFonts w:ascii="Times New Roman" w:hAnsi="Times New Roman" w:cs="Times New Roman"/>
        </w:rPr>
        <w:t xml:space="preserve"> </w:t>
      </w:r>
      <w:r w:rsidR="00F60E9A">
        <w:rPr>
          <w:rFonts w:ascii="Times New Roman" w:hAnsi="Times New Roman" w:cs="Times New Roman"/>
        </w:rPr>
        <w:t>Model-averaged p</w:t>
      </w:r>
      <w:r w:rsidRPr="004851D2">
        <w:rPr>
          <w:rFonts w:ascii="Times New Roman" w:hAnsi="Times New Roman" w:cs="Times New Roman"/>
        </w:rPr>
        <w:t>arameter</w:t>
      </w:r>
      <w:r>
        <w:rPr>
          <w:rFonts w:ascii="Times New Roman" w:hAnsi="Times New Roman" w:cs="Times New Roman"/>
        </w:rPr>
        <w:t xml:space="preserve"> estimate</w:t>
      </w:r>
      <w:r w:rsidRPr="004851D2">
        <w:rPr>
          <w:rFonts w:ascii="Times New Roman" w:hAnsi="Times New Roman" w:cs="Times New Roman"/>
        </w:rPr>
        <w:t xml:space="preserve">s </w:t>
      </w:r>
      <w:r w:rsidR="00B47973">
        <w:rPr>
          <w:rFonts w:ascii="Times New Roman" w:hAnsi="Times New Roman" w:cs="Times New Roman"/>
        </w:rPr>
        <w:t>for predictors of</w:t>
      </w:r>
      <w:r>
        <w:rPr>
          <w:rFonts w:ascii="Times New Roman" w:hAnsi="Times New Roman" w:cs="Times New Roman"/>
        </w:rPr>
        <w:t xml:space="preserve"> song sparrow song repertoire size</w:t>
      </w:r>
      <w:r w:rsidR="00B47973">
        <w:rPr>
          <w:rFonts w:ascii="Times New Roman" w:hAnsi="Times New Roman" w:cs="Times New Roman"/>
        </w:rPr>
        <w:t xml:space="preserve">, after excluding a potentially influential </w:t>
      </w:r>
      <w:proofErr w:type="spellStart"/>
      <w:r w:rsidR="00B47973">
        <w:rPr>
          <w:rFonts w:ascii="Times New Roman" w:hAnsi="Times New Roman" w:cs="Times New Roman"/>
        </w:rPr>
        <w:t>datapoint</w:t>
      </w:r>
      <w:proofErr w:type="spellEnd"/>
      <w:r w:rsidR="00B47973">
        <w:rPr>
          <w:rFonts w:ascii="Times New Roman" w:hAnsi="Times New Roman" w:cs="Times New Roman"/>
        </w:rPr>
        <w:t xml:space="preserve"> with low repertoire size and high MHC diversity</w:t>
      </w:r>
      <w:r>
        <w:rPr>
          <w:rFonts w:ascii="Times New Roman" w:hAnsi="Times New Roman" w:cs="Times New Roman"/>
        </w:rPr>
        <w:t>.</w:t>
      </w:r>
      <w:r w:rsidR="00B47973">
        <w:rPr>
          <w:rFonts w:ascii="Times New Roman" w:hAnsi="Times New Roman" w:cs="Times New Roman"/>
        </w:rPr>
        <w:t xml:space="preserve"> Models were weighted as indicated in table S1 and conditionally averaged.</w:t>
      </w:r>
      <w:r>
        <w:rPr>
          <w:rFonts w:ascii="Times New Roman" w:hAnsi="Times New Roman" w:cs="Times New Roman"/>
        </w:rPr>
        <w:t xml:space="preserve"> Repertoire size </w:t>
      </w:r>
      <w:r w:rsidR="00B47973">
        <w:rPr>
          <w:rFonts w:ascii="Times New Roman" w:hAnsi="Times New Roman" w:cs="Times New Roman"/>
        </w:rPr>
        <w:t xml:space="preserve">increased with number of MHC </w:t>
      </w:r>
      <w:proofErr w:type="spellStart"/>
      <w:r w:rsidR="00B47973">
        <w:rPr>
          <w:rFonts w:ascii="Times New Roman" w:hAnsi="Times New Roman" w:cs="Times New Roman"/>
        </w:rPr>
        <w:t>superalleles</w:t>
      </w:r>
      <w:proofErr w:type="spellEnd"/>
      <w:r w:rsidR="00B4797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decreased with squared number of </w:t>
      </w:r>
      <w:r w:rsidR="00B47973">
        <w:rPr>
          <w:rFonts w:ascii="Times New Roman" w:hAnsi="Times New Roman" w:cs="Times New Roman"/>
        </w:rPr>
        <w:t xml:space="preserve">MHC </w:t>
      </w:r>
      <w:proofErr w:type="spellStart"/>
      <w:r>
        <w:rPr>
          <w:rFonts w:ascii="Times New Roman" w:hAnsi="Times New Roman" w:cs="Times New Roman"/>
        </w:rPr>
        <w:t>superalleles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E8D88DD" w14:textId="77777777" w:rsidR="00123530" w:rsidRPr="004851D2" w:rsidRDefault="00123530" w:rsidP="00123530">
      <w:pPr>
        <w:spacing w:line="480" w:lineRule="auto"/>
        <w:rPr>
          <w:rFonts w:ascii="Times New Roman" w:hAnsi="Times New Roman" w:cs="Times New Roman"/>
        </w:rPr>
      </w:pPr>
    </w:p>
    <w:p w14:paraId="06C86513" w14:textId="77777777" w:rsidR="00123530" w:rsidRPr="004851D2" w:rsidRDefault="00123530" w:rsidP="00123530">
      <w:pPr>
        <w:spacing w:line="480" w:lineRule="auto"/>
        <w:rPr>
          <w:rFonts w:ascii="Times New Roman" w:hAnsi="Times New Roman" w:cs="Times New Roman"/>
        </w:rPr>
      </w:pPr>
    </w:p>
    <w:p w14:paraId="50DA34C3" w14:textId="77777777" w:rsidR="00123530" w:rsidRPr="004851D2" w:rsidRDefault="00123530" w:rsidP="00123530">
      <w:pPr>
        <w:spacing w:line="480" w:lineRule="auto"/>
        <w:rPr>
          <w:rFonts w:ascii="Times New Roman" w:hAnsi="Times New Roman" w:cs="Times New Roman"/>
        </w:rPr>
      </w:pPr>
    </w:p>
    <w:p w14:paraId="5E26F2C8" w14:textId="77777777" w:rsidR="00123530" w:rsidRPr="004851D2" w:rsidRDefault="00123530" w:rsidP="00123530">
      <w:pPr>
        <w:spacing w:line="480" w:lineRule="auto"/>
        <w:rPr>
          <w:rFonts w:ascii="Times New Roman" w:hAnsi="Times New Roman" w:cs="Times New Roman"/>
        </w:rPr>
      </w:pPr>
    </w:p>
    <w:p w14:paraId="173CC99C" w14:textId="77777777" w:rsidR="00123530" w:rsidRPr="004851D2" w:rsidRDefault="00123530" w:rsidP="00123530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2989" w:tblpY="5401"/>
        <w:tblW w:w="0" w:type="auto"/>
        <w:tblLook w:val="04A0" w:firstRow="1" w:lastRow="0" w:firstColumn="1" w:lastColumn="0" w:noHBand="0" w:noVBand="1"/>
      </w:tblPr>
      <w:tblGrid>
        <w:gridCol w:w="1620"/>
        <w:gridCol w:w="1980"/>
        <w:gridCol w:w="2520"/>
      </w:tblGrid>
      <w:tr w:rsidR="00123530" w:rsidRPr="004851D2" w14:paraId="48148508" w14:textId="77777777" w:rsidTr="00B47973"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F2F2E" w14:textId="77777777" w:rsidR="00123530" w:rsidRPr="004851D2" w:rsidRDefault="00123530" w:rsidP="00B4797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91B274" w14:textId="77777777" w:rsidR="00123530" w:rsidRPr="004851D2" w:rsidRDefault="00123530" w:rsidP="00B47973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b/>
              </w:rPr>
              <w:t>ß</w:t>
            </w:r>
            <w:r w:rsidRPr="004851D2">
              <w:rPr>
                <w:b/>
              </w:rPr>
              <w:t xml:space="preserve"> ± SE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7F590" w14:textId="77777777" w:rsidR="00123530" w:rsidRPr="004851D2" w:rsidRDefault="00123530" w:rsidP="00B47973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4851D2">
              <w:rPr>
                <w:b/>
              </w:rPr>
              <w:t>95% CI</w:t>
            </w:r>
          </w:p>
        </w:tc>
      </w:tr>
      <w:tr w:rsidR="00123530" w:rsidRPr="004851D2" w14:paraId="61916648" w14:textId="77777777" w:rsidTr="00B47973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05713" w14:textId="77777777" w:rsidR="00123530" w:rsidRPr="004851D2" w:rsidRDefault="00123530" w:rsidP="00B47973">
            <w:pPr>
              <w:spacing w:line="480" w:lineRule="auto"/>
              <w:jc w:val="center"/>
            </w:pPr>
            <w:r w:rsidRPr="004851D2">
              <w:t>Intercept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96591" w14:textId="2A38E417" w:rsidR="00123530" w:rsidRPr="00A7160B" w:rsidRDefault="005603BF" w:rsidP="005603BF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7160B">
              <w:t>2.94</w:t>
            </w:r>
            <w:r w:rsidR="00123530" w:rsidRPr="00A7160B">
              <w:t xml:space="preserve"> ± </w:t>
            </w:r>
            <w:r w:rsidRPr="00A7160B">
              <w:t>7.03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A5A91" w14:textId="1EE9467A" w:rsidR="00123530" w:rsidRPr="00A7160B" w:rsidRDefault="00B47973" w:rsidP="00B47973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7160B">
              <w:t>-11.02</w:t>
            </w:r>
            <w:r w:rsidR="00123530" w:rsidRPr="00A7160B">
              <w:t xml:space="preserve">, </w:t>
            </w:r>
            <w:r w:rsidRPr="00A7160B">
              <w:t>16.90</w:t>
            </w:r>
          </w:p>
        </w:tc>
      </w:tr>
      <w:tr w:rsidR="00123530" w:rsidRPr="004851D2" w14:paraId="2832B0EB" w14:textId="77777777" w:rsidTr="00B4797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0DD0CB" w14:textId="77777777" w:rsidR="00123530" w:rsidRPr="007C122B" w:rsidRDefault="00123530" w:rsidP="00B47973">
            <w:pPr>
              <w:spacing w:line="480" w:lineRule="auto"/>
              <w:jc w:val="center"/>
            </w:pPr>
            <w:r>
              <w:t>#</w:t>
            </w:r>
            <w:r w:rsidRPr="007C122B">
              <w:t>MHC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C029" w14:textId="47328E64" w:rsidR="00123530" w:rsidRPr="00A7160B" w:rsidRDefault="005603BF" w:rsidP="005603BF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7160B">
              <w:t>1.9</w:t>
            </w:r>
            <w:r w:rsidR="00123530" w:rsidRPr="00A7160B">
              <w:t>2 ± 0.</w:t>
            </w:r>
            <w:r w:rsidRPr="00A7160B"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9228" w14:textId="1FF7D52D" w:rsidR="00123530" w:rsidRPr="00A7160B" w:rsidRDefault="00123530" w:rsidP="00B47973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7160B">
              <w:t>0.</w:t>
            </w:r>
            <w:r w:rsidR="00B47973" w:rsidRPr="00A7160B">
              <w:t>02</w:t>
            </w:r>
            <w:r w:rsidRPr="00A7160B">
              <w:t>, 3.</w:t>
            </w:r>
            <w:r w:rsidR="00B47973" w:rsidRPr="00A7160B">
              <w:t>82</w:t>
            </w:r>
          </w:p>
        </w:tc>
      </w:tr>
      <w:tr w:rsidR="00123530" w:rsidRPr="004851D2" w14:paraId="76191426" w14:textId="77777777" w:rsidTr="00B47973"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BB9FD8B" w14:textId="77777777" w:rsidR="00123530" w:rsidRPr="007C122B" w:rsidRDefault="00123530" w:rsidP="00B47973">
            <w:pPr>
              <w:spacing w:line="480" w:lineRule="auto"/>
              <w:jc w:val="center"/>
            </w:pPr>
            <w:r>
              <w:t>(#</w:t>
            </w:r>
            <w:proofErr w:type="gramStart"/>
            <w:r w:rsidRPr="007C122B">
              <w:t>MHC</w:t>
            </w:r>
            <w:r>
              <w:t>)</w:t>
            </w:r>
            <w:r w:rsidRPr="007C12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694083A0" w14:textId="44B42F11" w:rsidR="00123530" w:rsidRPr="004851D2" w:rsidRDefault="00123530" w:rsidP="005603BF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661FFD">
              <w:t>-0.0</w:t>
            </w:r>
            <w:r w:rsidR="005603BF">
              <w:t>74</w:t>
            </w:r>
            <w:r w:rsidRPr="00661FFD">
              <w:t xml:space="preserve"> ± 0.0</w:t>
            </w:r>
            <w:r w:rsidR="005603BF">
              <w:t>36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14:paraId="6B0691ED" w14:textId="05EEFE66" w:rsidR="00123530" w:rsidRPr="004851D2" w:rsidRDefault="005603BF" w:rsidP="005603BF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t>-0.15</w:t>
            </w:r>
            <w:r w:rsidR="00123530">
              <w:t>, -0.0</w:t>
            </w:r>
            <w:r>
              <w:t>001</w:t>
            </w:r>
          </w:p>
        </w:tc>
      </w:tr>
    </w:tbl>
    <w:p w14:paraId="3B26FB1A" w14:textId="77777777" w:rsidR="00123530" w:rsidRPr="007C122B" w:rsidRDefault="00123530" w:rsidP="00123530">
      <w:pPr>
        <w:spacing w:line="480" w:lineRule="auto"/>
        <w:rPr>
          <w:rFonts w:ascii="Times New Roman" w:hAnsi="Times New Roman" w:cs="Times New Roman"/>
        </w:rPr>
      </w:pPr>
      <w:r w:rsidRPr="004851D2">
        <w:rPr>
          <w:rFonts w:ascii="Times New Roman" w:hAnsi="Times New Roman" w:cs="Times New Roman"/>
        </w:rPr>
        <w:br w:type="page"/>
      </w:r>
    </w:p>
    <w:p w14:paraId="617BF3AD" w14:textId="77777777" w:rsidR="002502F2" w:rsidRDefault="002502F2"/>
    <w:sectPr w:rsidR="002502F2" w:rsidSect="00453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3C68C" w14:textId="77777777" w:rsidR="00485278" w:rsidRDefault="00485278" w:rsidP="009E4169">
      <w:r>
        <w:separator/>
      </w:r>
    </w:p>
  </w:endnote>
  <w:endnote w:type="continuationSeparator" w:id="0">
    <w:p w14:paraId="24E9EB3C" w14:textId="77777777" w:rsidR="00485278" w:rsidRDefault="00485278" w:rsidP="009E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23F3" w14:textId="77777777" w:rsidR="00B878A2" w:rsidRDefault="00B878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80A9" w14:textId="77777777" w:rsidR="00B878A2" w:rsidRDefault="00B878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EE6C" w14:textId="77777777" w:rsidR="00B878A2" w:rsidRDefault="00B878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B7DB" w14:textId="77777777" w:rsidR="00485278" w:rsidRDefault="00485278" w:rsidP="009E4169">
      <w:r>
        <w:separator/>
      </w:r>
    </w:p>
  </w:footnote>
  <w:footnote w:type="continuationSeparator" w:id="0">
    <w:p w14:paraId="19438715" w14:textId="77777777" w:rsidR="00485278" w:rsidRDefault="00485278" w:rsidP="009E4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FA3F5" w14:textId="77777777" w:rsidR="00B878A2" w:rsidRDefault="00B878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122E6" w14:textId="4B938BF9" w:rsidR="00485278" w:rsidRPr="009E4169" w:rsidRDefault="00485278" w:rsidP="009E4169">
    <w:pPr>
      <w:widowControl w:val="0"/>
      <w:tabs>
        <w:tab w:val="left" w:pos="528"/>
        <w:tab w:val="left" w:pos="1056"/>
        <w:tab w:val="left" w:pos="1584"/>
        <w:tab w:val="left" w:pos="2112"/>
        <w:tab w:val="left" w:pos="2640"/>
        <w:tab w:val="left" w:pos="3168"/>
        <w:tab w:val="left" w:pos="3696"/>
        <w:tab w:val="left" w:pos="4224"/>
        <w:tab w:val="left" w:pos="4752"/>
        <w:tab w:val="left" w:pos="5280"/>
        <w:tab w:val="left" w:pos="5808"/>
        <w:tab w:val="left" w:pos="6337"/>
        <w:tab w:val="left" w:pos="6865"/>
        <w:tab w:val="left" w:pos="7393"/>
        <w:tab w:val="left" w:pos="7921"/>
        <w:tab w:val="left" w:pos="8449"/>
        <w:tab w:val="left" w:pos="8977"/>
        <w:tab w:val="left" w:pos="9505"/>
        <w:tab w:val="left" w:pos="10033"/>
        <w:tab w:val="left" w:pos="10561"/>
        <w:tab w:val="left" w:pos="11089"/>
        <w:tab w:val="left" w:pos="11617"/>
        <w:tab w:val="left" w:pos="12145"/>
        <w:tab w:val="left" w:pos="12674"/>
        <w:tab w:val="left" w:pos="13202"/>
        <w:tab w:val="left" w:pos="13730"/>
        <w:tab w:val="left" w:pos="14258"/>
        <w:tab w:val="left" w:pos="14786"/>
        <w:tab w:val="left" w:pos="15314"/>
        <w:tab w:val="left" w:pos="15842"/>
        <w:tab w:val="left" w:pos="16370"/>
        <w:tab w:val="left" w:pos="16898"/>
        <w:tab w:val="left" w:pos="17426"/>
        <w:tab w:val="left" w:pos="17954"/>
        <w:tab w:val="left" w:pos="18483"/>
        <w:tab w:val="left" w:pos="19011"/>
        <w:tab w:val="left" w:pos="19539"/>
        <w:tab w:val="left" w:pos="20067"/>
        <w:tab w:val="left" w:pos="20595"/>
        <w:tab w:val="left" w:pos="21123"/>
        <w:tab w:val="left" w:pos="21651"/>
        <w:tab w:val="left" w:pos="22179"/>
        <w:tab w:val="left" w:pos="22707"/>
        <w:tab w:val="left" w:pos="23235"/>
        <w:tab w:val="left" w:pos="23763"/>
        <w:tab w:val="left" w:pos="24291"/>
        <w:tab w:val="left" w:pos="24820"/>
        <w:tab w:val="left" w:pos="25348"/>
        <w:tab w:val="left" w:pos="25876"/>
        <w:tab w:val="left" w:pos="26404"/>
        <w:tab w:val="left" w:pos="26932"/>
        <w:tab w:val="left" w:pos="27460"/>
        <w:tab w:val="left" w:pos="27988"/>
        <w:tab w:val="left" w:pos="28516"/>
        <w:tab w:val="left" w:pos="29044"/>
        <w:tab w:val="left" w:pos="29572"/>
        <w:tab w:val="left" w:pos="30100"/>
        <w:tab w:val="left" w:pos="30628"/>
        <w:tab w:val="left" w:pos="31157"/>
      </w:tabs>
      <w:autoSpaceDE w:val="0"/>
      <w:autoSpaceDN w:val="0"/>
      <w:adjustRightInd w:val="0"/>
      <w:ind w:left="80" w:hanging="80"/>
      <w:rPr>
        <w:rFonts w:ascii="Times New Roman" w:hAnsi="Times New Roman" w:cs="Times New Roman"/>
        <w:b/>
      </w:rPr>
    </w:pPr>
    <w:r w:rsidRPr="009E4169">
      <w:rPr>
        <w:rFonts w:ascii="Times New Roman" w:hAnsi="Times New Roman" w:cs="Times New Roman"/>
        <w:b/>
      </w:rPr>
      <w:t xml:space="preserve">Predictors of song sparrow song repertoire size, after excluding a potentially influential </w:t>
    </w:r>
    <w:proofErr w:type="spellStart"/>
    <w:r w:rsidRPr="009E4169">
      <w:rPr>
        <w:rFonts w:ascii="Times New Roman" w:hAnsi="Times New Roman" w:cs="Times New Roman"/>
        <w:b/>
      </w:rPr>
      <w:t>datapoint</w:t>
    </w:r>
    <w:proofErr w:type="spellEnd"/>
  </w:p>
  <w:p w14:paraId="187D4779" w14:textId="67D0DC9B" w:rsidR="00540A3B" w:rsidRDefault="00540A3B" w:rsidP="00540A3B">
    <w:pPr>
      <w:widowControl w:val="0"/>
      <w:tabs>
        <w:tab w:val="left" w:pos="528"/>
        <w:tab w:val="left" w:pos="1056"/>
        <w:tab w:val="left" w:pos="1584"/>
        <w:tab w:val="left" w:pos="2112"/>
        <w:tab w:val="left" w:pos="2640"/>
        <w:tab w:val="left" w:pos="3168"/>
        <w:tab w:val="left" w:pos="3696"/>
        <w:tab w:val="left" w:pos="4224"/>
        <w:tab w:val="left" w:pos="4752"/>
        <w:tab w:val="left" w:pos="5280"/>
        <w:tab w:val="left" w:pos="5808"/>
        <w:tab w:val="left" w:pos="6337"/>
        <w:tab w:val="left" w:pos="6865"/>
        <w:tab w:val="left" w:pos="7393"/>
        <w:tab w:val="left" w:pos="7921"/>
        <w:tab w:val="left" w:pos="8449"/>
        <w:tab w:val="left" w:pos="8977"/>
        <w:tab w:val="left" w:pos="9505"/>
        <w:tab w:val="left" w:pos="10033"/>
        <w:tab w:val="left" w:pos="10561"/>
        <w:tab w:val="left" w:pos="11089"/>
        <w:tab w:val="left" w:pos="11617"/>
        <w:tab w:val="left" w:pos="12145"/>
        <w:tab w:val="left" w:pos="12674"/>
        <w:tab w:val="left" w:pos="13202"/>
        <w:tab w:val="left" w:pos="13730"/>
        <w:tab w:val="left" w:pos="14258"/>
        <w:tab w:val="left" w:pos="14786"/>
        <w:tab w:val="left" w:pos="15314"/>
        <w:tab w:val="left" w:pos="15842"/>
        <w:tab w:val="left" w:pos="16370"/>
        <w:tab w:val="left" w:pos="16898"/>
        <w:tab w:val="left" w:pos="17426"/>
        <w:tab w:val="left" w:pos="17954"/>
        <w:tab w:val="left" w:pos="18483"/>
        <w:tab w:val="left" w:pos="19011"/>
        <w:tab w:val="left" w:pos="19539"/>
        <w:tab w:val="left" w:pos="20067"/>
        <w:tab w:val="left" w:pos="20595"/>
        <w:tab w:val="left" w:pos="21123"/>
        <w:tab w:val="left" w:pos="21651"/>
        <w:tab w:val="left" w:pos="22179"/>
        <w:tab w:val="left" w:pos="22707"/>
        <w:tab w:val="left" w:pos="23235"/>
        <w:tab w:val="left" w:pos="23763"/>
        <w:tab w:val="left" w:pos="24291"/>
        <w:tab w:val="left" w:pos="24820"/>
        <w:tab w:val="left" w:pos="25348"/>
        <w:tab w:val="left" w:pos="25876"/>
        <w:tab w:val="left" w:pos="26404"/>
        <w:tab w:val="left" w:pos="26932"/>
        <w:tab w:val="left" w:pos="27460"/>
        <w:tab w:val="left" w:pos="27988"/>
        <w:tab w:val="left" w:pos="28516"/>
        <w:tab w:val="left" w:pos="29044"/>
        <w:tab w:val="left" w:pos="29572"/>
        <w:tab w:val="left" w:pos="30100"/>
        <w:tab w:val="left" w:pos="30628"/>
        <w:tab w:val="left" w:pos="31157"/>
      </w:tabs>
      <w:autoSpaceDE w:val="0"/>
      <w:autoSpaceDN w:val="0"/>
      <w:adjustRightInd w:val="0"/>
      <w:ind w:left="80" w:hanging="80"/>
      <w:rPr>
        <w:rFonts w:ascii="Times New Roman" w:hAnsi="Times New Roman" w:cs="Times New Roman"/>
      </w:rPr>
    </w:pPr>
    <w:r w:rsidRPr="00485278">
      <w:rPr>
        <w:rFonts w:ascii="Times New Roman" w:hAnsi="Times New Roman" w:cs="Times New Roman"/>
      </w:rPr>
      <w:t xml:space="preserve">Birdsong signals </w:t>
    </w:r>
    <w:r>
      <w:rPr>
        <w:rFonts w:ascii="Times New Roman" w:hAnsi="Times New Roman" w:cs="Times New Roman"/>
      </w:rPr>
      <w:t>individual diversity at MHC</w:t>
    </w:r>
    <w:r w:rsidR="00B878A2">
      <w:rPr>
        <w:rFonts w:ascii="Times New Roman" w:hAnsi="Times New Roman" w:cs="Times New Roman"/>
      </w:rPr>
      <w:t xml:space="preserve">. </w:t>
    </w:r>
    <w:r w:rsidR="00B878A2" w:rsidRPr="00B878A2">
      <w:rPr>
        <w:rFonts w:ascii="Times New Roman" w:hAnsi="Times New Roman" w:cs="Times New Roman"/>
        <w:i/>
      </w:rPr>
      <w:t>Biology Letters.</w:t>
    </w:r>
  </w:p>
  <w:p w14:paraId="6A3752A4" w14:textId="0723AD6C" w:rsidR="00485278" w:rsidRPr="00485278" w:rsidRDefault="00485278" w:rsidP="00485278">
    <w:pPr>
      <w:rPr>
        <w:rFonts w:ascii="Times New Roman" w:hAnsi="Times New Roman" w:cs="Times New Roman"/>
      </w:rPr>
    </w:pPr>
    <w:r w:rsidRPr="009E4169">
      <w:rPr>
        <w:rFonts w:ascii="Times New Roman" w:hAnsi="Times New Roman" w:cs="Times New Roman"/>
      </w:rPr>
      <w:t>JWG Slade, MJ Watson, EA MacDougall-Shackleton</w:t>
    </w:r>
    <w:bookmarkStart w:id="0" w:name="_GoBack"/>
    <w:bookmarkEnd w:id="0"/>
  </w:p>
  <w:p w14:paraId="30122181" w14:textId="77777777" w:rsidR="00485278" w:rsidRDefault="004852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73A5" w14:textId="77777777" w:rsidR="00B878A2" w:rsidRDefault="00B87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30"/>
    <w:rsid w:val="000B391F"/>
    <w:rsid w:val="00123530"/>
    <w:rsid w:val="00233450"/>
    <w:rsid w:val="002502F2"/>
    <w:rsid w:val="002C22F3"/>
    <w:rsid w:val="0045342F"/>
    <w:rsid w:val="00485278"/>
    <w:rsid w:val="004F2730"/>
    <w:rsid w:val="00540A3B"/>
    <w:rsid w:val="005603BF"/>
    <w:rsid w:val="008C2B6B"/>
    <w:rsid w:val="009E4169"/>
    <w:rsid w:val="00A7160B"/>
    <w:rsid w:val="00B47973"/>
    <w:rsid w:val="00B878A2"/>
    <w:rsid w:val="00BA7774"/>
    <w:rsid w:val="00BB7B97"/>
    <w:rsid w:val="00F60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35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23530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169"/>
  </w:style>
  <w:style w:type="paragraph" w:styleId="Footer">
    <w:name w:val="footer"/>
    <w:basedOn w:val="Normal"/>
    <w:link w:val="FooterChar"/>
    <w:uiPriority w:val="99"/>
    <w:unhideWhenUsed/>
    <w:rsid w:val="009E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1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23530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169"/>
  </w:style>
  <w:style w:type="paragraph" w:styleId="Footer">
    <w:name w:val="footer"/>
    <w:basedOn w:val="Normal"/>
    <w:link w:val="FooterChar"/>
    <w:uiPriority w:val="99"/>
    <w:unhideWhenUsed/>
    <w:rsid w:val="009E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855</Characters>
  <Application>Microsoft Macintosh Word</Application>
  <DocSecurity>0</DocSecurity>
  <Lines>7</Lines>
  <Paragraphs>2</Paragraphs>
  <ScaleCrop>false</ScaleCrop>
  <Company>University of Western Ontario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MacDougall-Shackleton</dc:creator>
  <cp:keywords/>
  <dc:description/>
  <cp:lastModifiedBy>Beth MacDougall-Shackleton</cp:lastModifiedBy>
  <cp:revision>2</cp:revision>
  <dcterms:created xsi:type="dcterms:W3CDTF">2017-10-06T15:55:00Z</dcterms:created>
  <dcterms:modified xsi:type="dcterms:W3CDTF">2017-10-06T15:55:00Z</dcterms:modified>
</cp:coreProperties>
</file>