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EF" w:rsidRPr="00813AC5" w:rsidRDefault="00CC1CEF" w:rsidP="00CC1CEF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13AC5">
        <w:rPr>
          <w:rFonts w:ascii="Times New Roman" w:hAnsi="Times New Roman"/>
          <w:sz w:val="24"/>
          <w:szCs w:val="24"/>
        </w:rPr>
        <w:t xml:space="preserve">TWO NEW SPECIES OF </w:t>
      </w:r>
      <w:r w:rsidRPr="00813AC5">
        <w:rPr>
          <w:rFonts w:ascii="Times New Roman" w:hAnsi="Times New Roman"/>
          <w:i/>
          <w:sz w:val="24"/>
          <w:szCs w:val="24"/>
        </w:rPr>
        <w:t>ICHTHYOSAURUS</w:t>
      </w:r>
      <w:r w:rsidRPr="00813AC5">
        <w:rPr>
          <w:rFonts w:ascii="Times New Roman" w:hAnsi="Times New Roman"/>
          <w:sz w:val="24"/>
          <w:szCs w:val="24"/>
        </w:rPr>
        <w:t xml:space="preserve"> FROM THE </w:t>
      </w:r>
      <w:r w:rsidRPr="001A7A63">
        <w:rPr>
          <w:rFonts w:ascii="Times New Roman" w:hAnsi="Times New Roman"/>
          <w:sz w:val="24"/>
          <w:szCs w:val="24"/>
        </w:rPr>
        <w:t>LOWER</w:t>
      </w:r>
      <w:r w:rsidR="00720FB3" w:rsidRPr="001A7A63">
        <w:rPr>
          <w:rFonts w:ascii="Times New Roman" w:hAnsi="Times New Roman"/>
          <w:sz w:val="24"/>
          <w:szCs w:val="24"/>
        </w:rPr>
        <w:t>MOST</w:t>
      </w:r>
      <w:r w:rsidRPr="001A7A63">
        <w:rPr>
          <w:rFonts w:ascii="Times New Roman" w:hAnsi="Times New Roman"/>
          <w:sz w:val="24"/>
          <w:szCs w:val="24"/>
        </w:rPr>
        <w:t xml:space="preserve"> JURASSIC </w:t>
      </w:r>
      <w:r w:rsidRPr="00813AC5">
        <w:rPr>
          <w:rFonts w:ascii="Times New Roman" w:hAnsi="Times New Roman"/>
          <w:sz w:val="24"/>
          <w:szCs w:val="24"/>
        </w:rPr>
        <w:t>(HETTANGIAN) OF SOMERSET, ENGLAND, UK</w:t>
      </w:r>
    </w:p>
    <w:p w:rsidR="00CC1CEF" w:rsidRDefault="00CC1CEF" w:rsidP="00DF70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007" w:rsidRDefault="00DF7007" w:rsidP="00DF7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0A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EAN</w:t>
      </w:r>
      <w:r w:rsidRPr="009840A5">
        <w:rPr>
          <w:rFonts w:ascii="Times New Roman" w:hAnsi="Times New Roman" w:cs="Times New Roman"/>
          <w:sz w:val="24"/>
          <w:szCs w:val="24"/>
        </w:rPr>
        <w:t xml:space="preserve"> R. L</w:t>
      </w:r>
      <w:r>
        <w:rPr>
          <w:rFonts w:ascii="Times New Roman" w:hAnsi="Times New Roman" w:cs="Times New Roman"/>
          <w:sz w:val="24"/>
          <w:szCs w:val="24"/>
        </w:rPr>
        <w:t>OMAX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840A5">
        <w:rPr>
          <w:rFonts w:ascii="Times New Roman" w:hAnsi="Times New Roman" w:cs="Times New Roman"/>
          <w:sz w:val="24"/>
          <w:szCs w:val="24"/>
        </w:rPr>
        <w:t xml:space="preserve"> and J</w:t>
      </w:r>
      <w:r>
        <w:rPr>
          <w:rFonts w:ascii="Times New Roman" w:hAnsi="Times New Roman" w:cs="Times New Roman"/>
          <w:sz w:val="24"/>
          <w:szCs w:val="24"/>
        </w:rPr>
        <w:t>UDY</w:t>
      </w:r>
      <w:r w:rsidRPr="009840A5">
        <w:rPr>
          <w:rFonts w:ascii="Times New Roman" w:hAnsi="Times New Roman" w:cs="Times New Roman"/>
          <w:sz w:val="24"/>
          <w:szCs w:val="24"/>
        </w:rPr>
        <w:t xml:space="preserve"> A. M</w:t>
      </w:r>
      <w:r>
        <w:rPr>
          <w:rFonts w:ascii="Times New Roman" w:hAnsi="Times New Roman" w:cs="Times New Roman"/>
          <w:sz w:val="24"/>
          <w:szCs w:val="24"/>
        </w:rPr>
        <w:t>ASSARE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F7007" w:rsidRDefault="00DF7007" w:rsidP="00DF70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007" w:rsidRPr="009840A5" w:rsidRDefault="00DF7007" w:rsidP="00DF70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73C31">
        <w:rPr>
          <w:rFonts w:ascii="Times New Roman" w:hAnsi="Times New Roman"/>
          <w:sz w:val="24"/>
          <w:szCs w:val="24"/>
        </w:rPr>
        <w:t xml:space="preserve">School of Earth, Atmospheric and Environmental Sciences, The University of Manchester, Oxford Road, Manchester, M13 9PL, </w:t>
      </w:r>
      <w:r>
        <w:rPr>
          <w:rFonts w:ascii="Times New Roman" w:hAnsi="Times New Roman"/>
          <w:sz w:val="24"/>
          <w:szCs w:val="24"/>
        </w:rPr>
        <w:t xml:space="preserve">UK dean.lomax@manchester.ac.uk </w:t>
      </w:r>
    </w:p>
    <w:p w:rsidR="00DF7007" w:rsidRPr="009840A5" w:rsidRDefault="00DF7007" w:rsidP="00DF70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Department of Earth Sciences, SUNY College at Brockport, Brockport, NY 14420 jmassare@brockport.edu</w:t>
      </w:r>
    </w:p>
    <w:p w:rsidR="00D35935" w:rsidRDefault="00D35935">
      <w:pPr>
        <w:rPr>
          <w:rFonts w:ascii="Times New Roman" w:hAnsi="Times New Roman" w:cs="Times New Roman"/>
          <w:sz w:val="24"/>
          <w:szCs w:val="24"/>
        </w:rPr>
      </w:pPr>
    </w:p>
    <w:p w:rsidR="00DF7007" w:rsidRDefault="00D35935" w:rsidP="00DF7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007">
        <w:rPr>
          <w:rFonts w:ascii="Times New Roman" w:hAnsi="Times New Roman" w:cs="Times New Roman"/>
          <w:sz w:val="24"/>
          <w:szCs w:val="24"/>
        </w:rPr>
        <w:t>SUPPLEMENTARY INFORMATION</w:t>
      </w:r>
    </w:p>
    <w:p w:rsidR="00DF7007" w:rsidRDefault="00DF7007" w:rsidP="00DF7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</w:t>
      </w:r>
      <w:r w:rsidR="000804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S1: Change </w:t>
      </w:r>
      <w:r w:rsidRPr="00CC1CEF">
        <w:rPr>
          <w:rFonts w:ascii="Times New Roman" w:hAnsi="Times New Roman" w:cs="Times New Roman"/>
          <w:sz w:val="24"/>
          <w:szCs w:val="24"/>
        </w:rPr>
        <w:t xml:space="preserve">in centrum dimensions along the vertebral column in ANSP 15766, </w:t>
      </w:r>
      <w:r w:rsidRPr="00CC1CEF">
        <w:rPr>
          <w:rFonts w:ascii="Times New Roman" w:hAnsi="Times New Roman" w:cs="Times New Roman"/>
          <w:i/>
          <w:sz w:val="24"/>
          <w:szCs w:val="24"/>
        </w:rPr>
        <w:t xml:space="preserve">Ichthyosaurus </w:t>
      </w:r>
      <w:r w:rsidR="005C3BE7">
        <w:rPr>
          <w:rFonts w:ascii="Times New Roman" w:hAnsi="Times New Roman" w:cs="Times New Roman"/>
          <w:i/>
          <w:sz w:val="24"/>
          <w:szCs w:val="24"/>
        </w:rPr>
        <w:t>somersetensis</w:t>
      </w:r>
      <w:r w:rsidR="000804F9" w:rsidRPr="00CC1CEF">
        <w:rPr>
          <w:rFonts w:ascii="Times New Roman" w:hAnsi="Times New Roman" w:cs="Times New Roman"/>
          <w:sz w:val="24"/>
          <w:szCs w:val="24"/>
        </w:rPr>
        <w:t xml:space="preserve"> sp. </w:t>
      </w:r>
      <w:proofErr w:type="spellStart"/>
      <w:proofErr w:type="gramStart"/>
      <w:r w:rsidR="000804F9" w:rsidRPr="00CC1CEF">
        <w:rPr>
          <w:rFonts w:ascii="Times New Roman" w:hAnsi="Times New Roman" w:cs="Times New Roman"/>
          <w:sz w:val="24"/>
          <w:szCs w:val="24"/>
        </w:rPr>
        <w:t>nov</w:t>
      </w:r>
      <w:proofErr w:type="gramEnd"/>
      <w:r w:rsidR="000804F9" w:rsidRPr="00CC1CEF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0804F9" w:rsidRPr="00CC1CEF">
        <w:rPr>
          <w:rFonts w:ascii="Times New Roman" w:hAnsi="Times New Roman" w:cs="Times New Roman"/>
          <w:sz w:val="24"/>
          <w:szCs w:val="24"/>
        </w:rPr>
        <w:t xml:space="preserve"> </w:t>
      </w:r>
      <w:r w:rsidRPr="00CC1CEF">
        <w:rPr>
          <w:rFonts w:ascii="Times New Roman" w:hAnsi="Times New Roman" w:cs="Times New Roman"/>
          <w:sz w:val="24"/>
          <w:szCs w:val="24"/>
        </w:rPr>
        <w:t>Data are from Table S1. Vertical lines denote the approximate position</w:t>
      </w:r>
      <w:r w:rsidR="00A5160A" w:rsidRPr="00CC1CEF">
        <w:rPr>
          <w:rFonts w:ascii="Times New Roman" w:hAnsi="Times New Roman" w:cs="Times New Roman"/>
          <w:sz w:val="24"/>
          <w:szCs w:val="24"/>
        </w:rPr>
        <w:t>s</w:t>
      </w:r>
      <w:r w:rsidRPr="00CC1CEF">
        <w:rPr>
          <w:rFonts w:ascii="Times New Roman" w:hAnsi="Times New Roman" w:cs="Times New Roman"/>
          <w:sz w:val="24"/>
          <w:szCs w:val="24"/>
        </w:rPr>
        <w:t xml:space="preserve"> of the transition f</w:t>
      </w:r>
      <w:r w:rsidR="00A5160A" w:rsidRPr="00CC1CEF">
        <w:rPr>
          <w:rFonts w:ascii="Times New Roman" w:hAnsi="Times New Roman" w:cs="Times New Roman"/>
          <w:sz w:val="24"/>
          <w:szCs w:val="24"/>
        </w:rPr>
        <w:t xml:space="preserve">rom dorsal </w:t>
      </w:r>
      <w:r w:rsidR="00A5160A">
        <w:rPr>
          <w:rFonts w:ascii="Times New Roman" w:hAnsi="Times New Roman" w:cs="Times New Roman"/>
          <w:sz w:val="24"/>
          <w:szCs w:val="24"/>
        </w:rPr>
        <w:t>to caudal centra</w:t>
      </w:r>
      <w:r>
        <w:rPr>
          <w:rFonts w:ascii="Times New Roman" w:hAnsi="Times New Roman" w:cs="Times New Roman"/>
          <w:sz w:val="24"/>
          <w:szCs w:val="24"/>
        </w:rPr>
        <w:t xml:space="preserve"> and from caudal to fluke centra.</w:t>
      </w:r>
    </w:p>
    <w:p w:rsidR="00DF7007" w:rsidRDefault="001A7A63" w:rsidP="00DF70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2C39B22B" wp14:editId="0A7C0AF9">
            <wp:extent cx="5943600" cy="3282950"/>
            <wp:effectExtent l="0" t="0" r="1905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D35935" w:rsidRDefault="00DF7007" w:rsidP="00DF7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that centrum height </w:t>
      </w:r>
      <w:r w:rsidR="007C19AA">
        <w:rPr>
          <w:rFonts w:ascii="Times New Roman" w:hAnsi="Times New Roman" w:cs="Times New Roman"/>
          <w:sz w:val="24"/>
          <w:szCs w:val="24"/>
        </w:rPr>
        <w:t xml:space="preserve">and length </w:t>
      </w:r>
      <w:r w:rsidR="001A7A63">
        <w:rPr>
          <w:rFonts w:ascii="Times New Roman" w:hAnsi="Times New Roman" w:cs="Times New Roman"/>
          <w:sz w:val="24"/>
          <w:szCs w:val="24"/>
        </w:rPr>
        <w:t>decrease</w:t>
      </w:r>
      <w:r w:rsidR="007C19AA">
        <w:rPr>
          <w:rFonts w:ascii="Times New Roman" w:hAnsi="Times New Roman" w:cs="Times New Roman"/>
          <w:sz w:val="24"/>
          <w:szCs w:val="24"/>
        </w:rPr>
        <w:t xml:space="preserve"> from about centrum no. 40 to the tail fluke.  </w:t>
      </w:r>
    </w:p>
    <w:p w:rsidR="0077320E" w:rsidRDefault="00773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723D" w:rsidRPr="007C19AA" w:rsidRDefault="0062723D" w:rsidP="0062723D">
      <w:pPr>
        <w:rPr>
          <w:rFonts w:ascii="Times New Roman" w:hAnsi="Times New Roman" w:cs="Times New Roman"/>
          <w:sz w:val="24"/>
          <w:szCs w:val="24"/>
        </w:rPr>
      </w:pPr>
      <w:r w:rsidRPr="00AB2FD6">
        <w:rPr>
          <w:rFonts w:ascii="Times New Roman" w:hAnsi="Times New Roman" w:cs="Times New Roman"/>
          <w:sz w:val="24"/>
          <w:szCs w:val="24"/>
        </w:rPr>
        <w:lastRenderedPageBreak/>
        <w:t xml:space="preserve">Table S1:  Centrum dimensions </w:t>
      </w:r>
      <w:r w:rsidR="000500CF">
        <w:rPr>
          <w:rFonts w:ascii="Times New Roman" w:hAnsi="Times New Roman" w:cs="Times New Roman"/>
          <w:sz w:val="24"/>
          <w:szCs w:val="24"/>
        </w:rPr>
        <w:t>for</w:t>
      </w:r>
      <w:r w:rsidRPr="00AB2FD6">
        <w:rPr>
          <w:rFonts w:ascii="Times New Roman" w:hAnsi="Times New Roman" w:cs="Times New Roman"/>
          <w:sz w:val="24"/>
          <w:szCs w:val="24"/>
        </w:rPr>
        <w:t xml:space="preserve"> ANSP 15766</w:t>
      </w:r>
      <w:r w:rsidR="000500CF">
        <w:rPr>
          <w:rFonts w:ascii="Times New Roman" w:hAnsi="Times New Roman" w:cs="Times New Roman"/>
          <w:sz w:val="24"/>
          <w:szCs w:val="24"/>
        </w:rPr>
        <w:t xml:space="preserve">, </w:t>
      </w:r>
      <w:r w:rsidR="000500CF" w:rsidRPr="007C19AA">
        <w:rPr>
          <w:rFonts w:ascii="Times New Roman" w:hAnsi="Times New Roman" w:cs="Times New Roman"/>
          <w:i/>
          <w:sz w:val="24"/>
          <w:szCs w:val="24"/>
        </w:rPr>
        <w:t xml:space="preserve">Ichthyosaurus </w:t>
      </w:r>
      <w:r w:rsidR="005C3BE7">
        <w:rPr>
          <w:rFonts w:ascii="Times New Roman" w:hAnsi="Times New Roman" w:cs="Times New Roman"/>
          <w:i/>
          <w:sz w:val="24"/>
          <w:szCs w:val="24"/>
        </w:rPr>
        <w:t>somersetensis</w:t>
      </w:r>
      <w:r w:rsidR="000804F9" w:rsidRPr="007C19AA">
        <w:rPr>
          <w:rFonts w:ascii="Times New Roman" w:hAnsi="Times New Roman" w:cs="Times New Roman"/>
          <w:sz w:val="24"/>
          <w:szCs w:val="24"/>
        </w:rPr>
        <w:t xml:space="preserve"> sp. </w:t>
      </w:r>
      <w:proofErr w:type="spellStart"/>
      <w:proofErr w:type="gramStart"/>
      <w:r w:rsidR="000804F9" w:rsidRPr="007C19AA">
        <w:rPr>
          <w:rFonts w:ascii="Times New Roman" w:hAnsi="Times New Roman" w:cs="Times New Roman"/>
          <w:sz w:val="24"/>
          <w:szCs w:val="24"/>
        </w:rPr>
        <w:t>nov</w:t>
      </w:r>
      <w:proofErr w:type="gramEnd"/>
      <w:r w:rsidR="000804F9" w:rsidRPr="007C19AA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7C19AA" w:rsidRDefault="00AB2FD6" w:rsidP="00627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len</w:t>
      </w:r>
      <w:r w:rsidR="005C3BE7">
        <w:rPr>
          <w:rFonts w:ascii="Times New Roman" w:hAnsi="Times New Roman" w:cs="Times New Roman"/>
          <w:sz w:val="24"/>
          <w:szCs w:val="24"/>
        </w:rPr>
        <w:t>gth (LEN), centrum height (HT)</w:t>
      </w:r>
      <w:r w:rsidR="00B776FC">
        <w:rPr>
          <w:rFonts w:ascii="Times New Roman" w:hAnsi="Times New Roman" w:cs="Times New Roman"/>
          <w:sz w:val="24"/>
          <w:szCs w:val="24"/>
        </w:rPr>
        <w:t>, and the HT/LEN ratio</w:t>
      </w:r>
      <w:r w:rsidR="005C3BE7">
        <w:rPr>
          <w:rFonts w:ascii="Times New Roman" w:hAnsi="Times New Roman" w:cs="Times New Roman"/>
          <w:sz w:val="24"/>
          <w:szCs w:val="24"/>
        </w:rPr>
        <w:t xml:space="preserve"> </w:t>
      </w:r>
      <w:r w:rsidR="00B776FC">
        <w:rPr>
          <w:rFonts w:ascii="Times New Roman" w:hAnsi="Times New Roman" w:cs="Times New Roman"/>
          <w:sz w:val="24"/>
          <w:szCs w:val="24"/>
        </w:rPr>
        <w:t>are given</w:t>
      </w:r>
      <w:r>
        <w:rPr>
          <w:rFonts w:ascii="Times New Roman" w:hAnsi="Times New Roman" w:cs="Times New Roman"/>
          <w:sz w:val="24"/>
          <w:szCs w:val="24"/>
        </w:rPr>
        <w:t xml:space="preserve"> in the table below. </w:t>
      </w:r>
      <w:r w:rsidRPr="00AB2FD6">
        <w:rPr>
          <w:rFonts w:ascii="Times New Roman" w:hAnsi="Times New Roman" w:cs="Times New Roman"/>
          <w:sz w:val="24"/>
          <w:szCs w:val="24"/>
        </w:rPr>
        <w:t xml:space="preserve">The last double-headed rib is on centrum no. 47, </w:t>
      </w:r>
      <w:r w:rsidR="00B776FC">
        <w:rPr>
          <w:rFonts w:ascii="Times New Roman" w:hAnsi="Times New Roman" w:cs="Times New Roman"/>
          <w:sz w:val="24"/>
          <w:szCs w:val="24"/>
        </w:rPr>
        <w:t xml:space="preserve">which marks the last dorsal centrum, </w:t>
      </w:r>
      <w:r w:rsidRPr="00AB2FD6">
        <w:rPr>
          <w:rFonts w:ascii="Times New Roman" w:hAnsi="Times New Roman" w:cs="Times New Roman"/>
          <w:sz w:val="24"/>
          <w:szCs w:val="24"/>
        </w:rPr>
        <w:t>making centrum no. 48 the first caudal centrum</w:t>
      </w:r>
      <w:r>
        <w:rPr>
          <w:rFonts w:ascii="Times New Roman" w:hAnsi="Times New Roman" w:cs="Times New Roman"/>
          <w:sz w:val="24"/>
          <w:szCs w:val="24"/>
        </w:rPr>
        <w:t xml:space="preserve">. The apical centra begin with </w:t>
      </w:r>
      <w:r w:rsidRPr="00AB2FD6">
        <w:rPr>
          <w:rFonts w:ascii="Times New Roman" w:hAnsi="Times New Roman" w:cs="Times New Roman"/>
          <w:sz w:val="24"/>
          <w:szCs w:val="24"/>
        </w:rPr>
        <w:t>centrum no.</w:t>
      </w:r>
      <w:r>
        <w:rPr>
          <w:rFonts w:ascii="Times New Roman" w:hAnsi="Times New Roman" w:cs="Times New Roman"/>
          <w:sz w:val="24"/>
          <w:szCs w:val="24"/>
        </w:rPr>
        <w:t xml:space="preserve"> 75</w:t>
      </w:r>
      <w:r w:rsidRPr="00AB2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continue </w:t>
      </w:r>
      <w:r w:rsidRPr="00AB2FD6">
        <w:rPr>
          <w:rFonts w:ascii="Times New Roman" w:hAnsi="Times New Roman" w:cs="Times New Roman"/>
          <w:sz w:val="24"/>
          <w:szCs w:val="24"/>
        </w:rPr>
        <w:t>to no. 83 or 84.</w:t>
      </w:r>
      <w:r w:rsidR="007C1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FD6" w:rsidRPr="00AB2FD6" w:rsidRDefault="007C19AA" w:rsidP="00627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Asterisk denotes a measurement that is estimated because the centrum was rotated, damaged, or partially buried.</w:t>
      </w:r>
    </w:p>
    <w:tbl>
      <w:tblPr>
        <w:tblW w:w="5410" w:type="dxa"/>
        <w:tblInd w:w="93" w:type="dxa"/>
        <w:tblLook w:val="04A0" w:firstRow="1" w:lastRow="0" w:firstColumn="1" w:lastColumn="0" w:noHBand="0" w:noVBand="1"/>
      </w:tblPr>
      <w:tblGrid>
        <w:gridCol w:w="1390"/>
        <w:gridCol w:w="1390"/>
        <w:gridCol w:w="1390"/>
        <w:gridCol w:w="1240"/>
      </w:tblGrid>
      <w:tr w:rsidR="0062723D" w:rsidRPr="0062723D" w:rsidTr="001A7A63">
        <w:trPr>
          <w:trHeight w:val="765"/>
        </w:trPr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CENTRUM NUMBER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CENTRUM LEN (CM)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CENTRUM HT (CM)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6FC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HT/LEN </w:t>
            </w:r>
          </w:p>
          <w:p w:rsidR="0062723D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RATIO</w:t>
            </w:r>
          </w:p>
        </w:tc>
      </w:tr>
      <w:tr w:rsidR="001A7A63" w:rsidRPr="0062723D" w:rsidTr="001A7A63">
        <w:trPr>
          <w:trHeight w:val="315"/>
        </w:trPr>
        <w:tc>
          <w:tcPr>
            <w:tcW w:w="13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63" w:rsidRPr="0062723D" w:rsidRDefault="001A7A63" w:rsidP="004B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63" w:rsidRPr="0062723D" w:rsidRDefault="001A7A63" w:rsidP="004B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63" w:rsidRPr="0062723D" w:rsidRDefault="00A7228C" w:rsidP="004B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63" w:rsidRPr="0062723D" w:rsidRDefault="001A7A63" w:rsidP="004B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3.83</w:t>
            </w:r>
          </w:p>
        </w:tc>
      </w:tr>
      <w:tr w:rsidR="0062723D" w:rsidRPr="0062723D" w:rsidTr="001A7A63">
        <w:trPr>
          <w:trHeight w:val="315"/>
        </w:trPr>
        <w:tc>
          <w:tcPr>
            <w:tcW w:w="13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1A7A63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A7228C" w:rsidP="00A7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1A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1A7A63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2.96</w:t>
            </w:r>
          </w:p>
        </w:tc>
      </w:tr>
      <w:tr w:rsidR="0062723D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</w:t>
            </w:r>
          </w:p>
        </w:tc>
      </w:tr>
      <w:tr w:rsidR="0062723D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23D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AB2FD6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B2FD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  <w:r w:rsidR="0062723D" w:rsidRPr="0062723D">
              <w:rPr>
                <w:rFonts w:ascii="Times New Roman" w:eastAsia="Times New Roman" w:hAnsi="Times New Roman" w:cs="Times New Roman"/>
                <w:sz w:val="24"/>
                <w:szCs w:val="24"/>
              </w:rPr>
              <w:t>1.58</w:t>
            </w:r>
            <w:r w:rsidRPr="00AB2FD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</w:tr>
      <w:tr w:rsidR="0062723D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23D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23D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</w:t>
            </w:r>
          </w:p>
        </w:tc>
      </w:tr>
      <w:tr w:rsidR="0062723D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23D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</w:tr>
      <w:tr w:rsidR="0062723D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</w:tr>
      <w:tr w:rsidR="0062723D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23D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23D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23D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</w:t>
            </w:r>
          </w:p>
        </w:tc>
      </w:tr>
      <w:tr w:rsidR="0062723D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</w:tr>
      <w:tr w:rsidR="0062723D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</w:t>
            </w:r>
          </w:p>
        </w:tc>
      </w:tr>
      <w:tr w:rsidR="0062723D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</w:tr>
      <w:tr w:rsidR="0062723D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</w:t>
            </w:r>
          </w:p>
        </w:tc>
      </w:tr>
      <w:tr w:rsidR="0062723D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</w:t>
            </w:r>
          </w:p>
        </w:tc>
      </w:tr>
      <w:tr w:rsidR="0062723D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</w:tr>
      <w:tr w:rsidR="0062723D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23D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</w:tr>
      <w:tr w:rsidR="0062723D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23D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23D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  <w:r w:rsidR="00B7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23D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23D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23D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  <w:r w:rsidR="007C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3D" w:rsidRPr="0062723D" w:rsidRDefault="0062723D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19AA" w:rsidRPr="0062723D" w:rsidTr="004764DE">
        <w:trPr>
          <w:trHeight w:val="765"/>
        </w:trPr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19AA" w:rsidRPr="0062723D" w:rsidRDefault="007C19AA" w:rsidP="0047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>CENTRUM NUMBER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19AA" w:rsidRPr="0062723D" w:rsidRDefault="007C19AA" w:rsidP="0047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CENTRUM LEN (CM)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19AA" w:rsidRPr="0062723D" w:rsidRDefault="007C19AA" w:rsidP="0047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CENTRUM HT (CM)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6FC" w:rsidRDefault="00B776FC" w:rsidP="0047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HT/LEN </w:t>
            </w:r>
          </w:p>
          <w:p w:rsidR="007C19AA" w:rsidRPr="0062723D" w:rsidRDefault="00B776FC" w:rsidP="0047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RATIO</w:t>
            </w:r>
          </w:p>
        </w:tc>
      </w:tr>
      <w:tr w:rsidR="001A7A63" w:rsidRPr="0062723D" w:rsidTr="004B6BF2">
        <w:trPr>
          <w:trHeight w:val="315"/>
        </w:trPr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63" w:rsidRPr="0062723D" w:rsidRDefault="001A7A63" w:rsidP="004B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63" w:rsidRPr="0062723D" w:rsidRDefault="001A7A63" w:rsidP="004B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63" w:rsidRPr="0062723D" w:rsidRDefault="001A7A63" w:rsidP="004B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63" w:rsidRPr="0062723D" w:rsidRDefault="001A7A63" w:rsidP="004B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76FC" w:rsidRPr="0062723D" w:rsidTr="00B04ABA">
        <w:trPr>
          <w:trHeight w:val="315"/>
        </w:trPr>
        <w:tc>
          <w:tcPr>
            <w:tcW w:w="13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B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A143F4" w:rsidP="00A1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B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B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76FC" w:rsidRPr="0062723D" w:rsidTr="00B04ABA">
        <w:trPr>
          <w:trHeight w:val="315"/>
        </w:trPr>
        <w:tc>
          <w:tcPr>
            <w:tcW w:w="13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B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B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B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B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2723D">
              <w:rPr>
                <w:rFonts w:ascii="Times New Roman" w:eastAsia="Times New Roman" w:hAnsi="Times New Roman" w:cs="Times New Roman"/>
                <w:sz w:val="24"/>
                <w:szCs w:val="24"/>
              </w:rPr>
              <w:t>2.32</w:t>
            </w:r>
            <w:r w:rsidRPr="00AB2FD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2723D"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  <w:r w:rsidRPr="00AB2FD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2723D">
              <w:rPr>
                <w:rFonts w:ascii="Times New Roman" w:eastAsia="Times New Roman" w:hAnsi="Times New Roman" w:cs="Times New Roman"/>
                <w:sz w:val="24"/>
                <w:szCs w:val="24"/>
              </w:rPr>
              <w:t>2.24</w:t>
            </w:r>
            <w:r w:rsidRPr="00AB2FD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2723D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  <w:r w:rsidRPr="00AB2FD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2723D">
              <w:rPr>
                <w:rFonts w:ascii="Times New Roman" w:eastAsia="Times New Roman" w:hAnsi="Times New Roman" w:cs="Times New Roman"/>
                <w:sz w:val="24"/>
                <w:szCs w:val="24"/>
              </w:rPr>
              <w:t>1.81</w:t>
            </w:r>
            <w:r w:rsidRPr="00AB2FD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2.44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1.98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B2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2723D">
              <w:rPr>
                <w:rFonts w:ascii="Times New Roman" w:eastAsia="Times New Roman" w:hAnsi="Times New Roman" w:cs="Times New Roman"/>
                <w:sz w:val="24"/>
                <w:szCs w:val="24"/>
              </w:rPr>
              <w:t>3.99</w:t>
            </w:r>
            <w:r w:rsidRPr="00AB2FD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2723D">
              <w:rPr>
                <w:rFonts w:ascii="Times New Roman" w:eastAsia="Times New Roman" w:hAnsi="Times New Roman" w:cs="Times New Roman"/>
                <w:sz w:val="24"/>
                <w:szCs w:val="24"/>
              </w:rPr>
              <w:t>1.41</w:t>
            </w:r>
            <w:r w:rsidRPr="00AB2FD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2.58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2723D">
              <w:rPr>
                <w:rFonts w:ascii="Times New Roman" w:eastAsia="Times New Roman" w:hAnsi="Times New Roman" w:cs="Times New Roman"/>
                <w:sz w:val="24"/>
                <w:szCs w:val="24"/>
              </w:rPr>
              <w:t>1.52</w:t>
            </w:r>
            <w:r w:rsidRPr="00AB2FD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2.37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2.70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2723D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  <w:r w:rsidRPr="00AB2FD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</w:tr>
      <w:tr w:rsidR="00B776FC" w:rsidRPr="0062723D" w:rsidTr="004764DE">
        <w:trPr>
          <w:trHeight w:val="765"/>
        </w:trPr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6FC" w:rsidRPr="0062723D" w:rsidRDefault="00B776FC" w:rsidP="0047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>CENTRUM NUMBER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6FC" w:rsidRPr="0062723D" w:rsidRDefault="00B776FC" w:rsidP="0047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CENTRUM LEN (CM)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6FC" w:rsidRPr="0062723D" w:rsidRDefault="00B776FC" w:rsidP="0047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CENTRUM HT (CM)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6FC" w:rsidRDefault="00B776FC" w:rsidP="0047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HT/LEN</w:t>
            </w:r>
          </w:p>
          <w:p w:rsidR="00B776FC" w:rsidRPr="0062723D" w:rsidRDefault="00B776FC" w:rsidP="0047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RATIO</w:t>
            </w:r>
          </w:p>
        </w:tc>
      </w:tr>
      <w:tr w:rsidR="001A7A63" w:rsidRPr="0062723D" w:rsidTr="004B6BF2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63" w:rsidRPr="0062723D" w:rsidRDefault="001A7A63" w:rsidP="004B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63" w:rsidRPr="0062723D" w:rsidRDefault="001A7A63" w:rsidP="004B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2723D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  <w:r w:rsidRPr="00AB2FD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63" w:rsidRPr="0062723D" w:rsidRDefault="001A7A63" w:rsidP="004B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63" w:rsidRPr="0062723D" w:rsidRDefault="001A7A63" w:rsidP="004B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</w:tr>
      <w:tr w:rsidR="00B776FC" w:rsidRPr="0062723D" w:rsidTr="00B04ABA">
        <w:trPr>
          <w:trHeight w:val="315"/>
        </w:trPr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B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B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2723D">
              <w:rPr>
                <w:rFonts w:ascii="Times New Roman" w:eastAsia="Times New Roman" w:hAnsi="Times New Roman" w:cs="Times New Roman"/>
                <w:sz w:val="24"/>
                <w:szCs w:val="24"/>
              </w:rPr>
              <w:t>1.38</w:t>
            </w:r>
            <w:r w:rsidRPr="00AB2FD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B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B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76FC" w:rsidRPr="0062723D" w:rsidTr="00B04ABA">
        <w:trPr>
          <w:trHeight w:val="315"/>
        </w:trPr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A143F4" w:rsidP="00B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A143F4" w:rsidP="00B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A143F4" w:rsidP="00B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A143F4" w:rsidP="00B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</w:tr>
      <w:tr w:rsidR="00B776FC" w:rsidRPr="0062723D" w:rsidTr="00B04ABA">
        <w:trPr>
          <w:trHeight w:val="315"/>
        </w:trPr>
        <w:tc>
          <w:tcPr>
            <w:tcW w:w="13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B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B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B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B2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2723D">
              <w:rPr>
                <w:rFonts w:ascii="Times New Roman" w:eastAsia="Times New Roman" w:hAnsi="Times New Roman" w:cs="Times New Roman"/>
                <w:sz w:val="24"/>
                <w:szCs w:val="24"/>
              </w:rPr>
              <w:t>2.51</w:t>
            </w:r>
            <w:r w:rsidRPr="00AB2FD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B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2723D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  <w:r w:rsidRPr="00AB2FD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3.27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2723D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  <w:r w:rsidRPr="00AB2FD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2723D">
              <w:rPr>
                <w:rFonts w:ascii="Times New Roman" w:eastAsia="Times New Roman" w:hAnsi="Times New Roman" w:cs="Times New Roman"/>
                <w:sz w:val="24"/>
                <w:szCs w:val="24"/>
              </w:rPr>
              <w:t>0.63</w:t>
            </w:r>
            <w:r w:rsidRPr="00AB2FD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2723D"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  <w:r w:rsidRPr="00AB2FD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3.34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3.72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3.49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2.61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  <w:r w:rsidR="00A1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  <w:r w:rsidRPr="00AB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</w:tr>
      <w:tr w:rsidR="00B776FC" w:rsidRPr="0062723D" w:rsidTr="00AB2FD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76FC" w:rsidRPr="0062723D" w:rsidTr="00277B14">
        <w:trPr>
          <w:trHeight w:val="315"/>
        </w:trPr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  <w:r w:rsidRPr="00AB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B776FC" w:rsidRPr="0062723D" w:rsidTr="00277B14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6FC" w:rsidRPr="0062723D" w:rsidRDefault="00B776FC" w:rsidP="006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</w:tr>
    </w:tbl>
    <w:p w:rsidR="0062723D" w:rsidRPr="00AB2FD6" w:rsidRDefault="0062723D" w:rsidP="007C1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23D" w:rsidRPr="00AB2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3D"/>
    <w:rsid w:val="000500CF"/>
    <w:rsid w:val="000804F9"/>
    <w:rsid w:val="000A7EEB"/>
    <w:rsid w:val="001A7A63"/>
    <w:rsid w:val="001D6682"/>
    <w:rsid w:val="00277B14"/>
    <w:rsid w:val="005C3BE7"/>
    <w:rsid w:val="0062723D"/>
    <w:rsid w:val="00720FB3"/>
    <w:rsid w:val="0077320E"/>
    <w:rsid w:val="007C19AA"/>
    <w:rsid w:val="0086056A"/>
    <w:rsid w:val="00932F82"/>
    <w:rsid w:val="00A143F4"/>
    <w:rsid w:val="00A5160A"/>
    <w:rsid w:val="00A7228C"/>
    <w:rsid w:val="00AB2FD6"/>
    <w:rsid w:val="00B776FC"/>
    <w:rsid w:val="00CC1CEF"/>
    <w:rsid w:val="00D35935"/>
    <w:rsid w:val="00DF7007"/>
    <w:rsid w:val="00F1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1CE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1C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J%20Massare\Desktop\RESEARCH%20-%20Ichthyosaurus\COLLECTIONS%20VISITED%20-%20MUSEUMS\Academy%20of%20Natural%20Sciences%202012%20JAM\ANSP-centra%2015766-17429%202012%20Aug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Variation in Centrum Shape </a:t>
            </a:r>
          </a:p>
          <a:p>
            <a:pPr>
              <a:defRPr/>
            </a:pPr>
            <a:r>
              <a:rPr lang="en-US"/>
              <a:t>ANSP 15766 </a:t>
            </a:r>
            <a:r>
              <a:rPr lang="en-US" i="1"/>
              <a:t>I.</a:t>
            </a:r>
            <a:r>
              <a:rPr lang="en-US" i="1" baseline="0"/>
              <a:t> somersetensis</a:t>
            </a:r>
            <a:endParaRPr lang="en-US" i="1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224544047378693"/>
          <c:y val="0.24004843205044243"/>
          <c:w val="0.71160037687596744"/>
          <c:h val="0.55437457165049731"/>
        </c:manualLayout>
      </c:layout>
      <c:scatterChart>
        <c:scatterStyle val="lineMarker"/>
        <c:varyColors val="0"/>
        <c:ser>
          <c:idx val="0"/>
          <c:order val="0"/>
          <c:tx>
            <c:v>length</c:v>
          </c:tx>
          <c:spPr>
            <a:ln>
              <a:solidFill>
                <a:schemeClr val="tx1"/>
              </a:solidFill>
            </a:ln>
          </c:spPr>
          <c:marker>
            <c:symbol val="diamond"/>
            <c:size val="4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'ANSP 15766'!$K$4:$K$103</c:f>
              <c:numCache>
                <c:formatCode>0</c:formatCode>
                <c:ptCount val="100"/>
                <c:pt idx="0" formatCode="General">
                  <c:v>1</c:v>
                </c:pt>
                <c:pt idx="1">
                  <c:v>2</c:v>
                </c:pt>
                <c:pt idx="2" formatCode="General">
                  <c:v>3</c:v>
                </c:pt>
                <c:pt idx="3" formatCode="General">
                  <c:v>4</c:v>
                </c:pt>
                <c:pt idx="4" formatCode="General">
                  <c:v>5</c:v>
                </c:pt>
                <c:pt idx="5" formatCode="General">
                  <c:v>6</c:v>
                </c:pt>
                <c:pt idx="6" formatCode="General">
                  <c:v>7</c:v>
                </c:pt>
                <c:pt idx="7" formatCode="General">
                  <c:v>8</c:v>
                </c:pt>
                <c:pt idx="8" formatCode="General">
                  <c:v>9</c:v>
                </c:pt>
                <c:pt idx="9" formatCode="General">
                  <c:v>10</c:v>
                </c:pt>
                <c:pt idx="10" formatCode="General">
                  <c:v>11</c:v>
                </c:pt>
                <c:pt idx="11" formatCode="General">
                  <c:v>12</c:v>
                </c:pt>
                <c:pt idx="12" formatCode="General">
                  <c:v>13</c:v>
                </c:pt>
                <c:pt idx="13" formatCode="General">
                  <c:v>14</c:v>
                </c:pt>
                <c:pt idx="14" formatCode="General">
                  <c:v>15</c:v>
                </c:pt>
                <c:pt idx="15" formatCode="General">
                  <c:v>16</c:v>
                </c:pt>
                <c:pt idx="16" formatCode="General">
                  <c:v>17</c:v>
                </c:pt>
                <c:pt idx="17" formatCode="General">
                  <c:v>18</c:v>
                </c:pt>
                <c:pt idx="18" formatCode="General">
                  <c:v>19</c:v>
                </c:pt>
                <c:pt idx="19" formatCode="General">
                  <c:v>20</c:v>
                </c:pt>
                <c:pt idx="20" formatCode="General">
                  <c:v>21</c:v>
                </c:pt>
                <c:pt idx="21" formatCode="General">
                  <c:v>22</c:v>
                </c:pt>
                <c:pt idx="22" formatCode="General">
                  <c:v>23</c:v>
                </c:pt>
                <c:pt idx="23" formatCode="General">
                  <c:v>24</c:v>
                </c:pt>
                <c:pt idx="24" formatCode="General">
                  <c:v>25</c:v>
                </c:pt>
                <c:pt idx="25" formatCode="General">
                  <c:v>26</c:v>
                </c:pt>
                <c:pt idx="26" formatCode="General">
                  <c:v>27</c:v>
                </c:pt>
                <c:pt idx="27" formatCode="General">
                  <c:v>28</c:v>
                </c:pt>
                <c:pt idx="28" formatCode="General">
                  <c:v>29</c:v>
                </c:pt>
                <c:pt idx="29" formatCode="General">
                  <c:v>30</c:v>
                </c:pt>
                <c:pt idx="30" formatCode="General">
                  <c:v>31</c:v>
                </c:pt>
                <c:pt idx="31" formatCode="General">
                  <c:v>32</c:v>
                </c:pt>
                <c:pt idx="32" formatCode="General">
                  <c:v>33</c:v>
                </c:pt>
                <c:pt idx="33" formatCode="General">
                  <c:v>34</c:v>
                </c:pt>
                <c:pt idx="34" formatCode="General">
                  <c:v>35</c:v>
                </c:pt>
                <c:pt idx="35" formatCode="General">
                  <c:v>36</c:v>
                </c:pt>
                <c:pt idx="36" formatCode="General">
                  <c:v>37</c:v>
                </c:pt>
                <c:pt idx="37" formatCode="General">
                  <c:v>38</c:v>
                </c:pt>
                <c:pt idx="38" formatCode="General">
                  <c:v>39</c:v>
                </c:pt>
                <c:pt idx="39" formatCode="General">
                  <c:v>40</c:v>
                </c:pt>
                <c:pt idx="40" formatCode="General">
                  <c:v>41</c:v>
                </c:pt>
                <c:pt idx="41" formatCode="General">
                  <c:v>42</c:v>
                </c:pt>
                <c:pt idx="42" formatCode="General">
                  <c:v>43</c:v>
                </c:pt>
                <c:pt idx="43" formatCode="General">
                  <c:v>44</c:v>
                </c:pt>
                <c:pt idx="44" formatCode="General">
                  <c:v>45</c:v>
                </c:pt>
                <c:pt idx="45" formatCode="General">
                  <c:v>46</c:v>
                </c:pt>
                <c:pt idx="46" formatCode="General">
                  <c:v>47</c:v>
                </c:pt>
                <c:pt idx="47" formatCode="General">
                  <c:v>48</c:v>
                </c:pt>
                <c:pt idx="48" formatCode="General">
                  <c:v>49</c:v>
                </c:pt>
                <c:pt idx="49" formatCode="General">
                  <c:v>50</c:v>
                </c:pt>
                <c:pt idx="50" formatCode="General">
                  <c:v>51</c:v>
                </c:pt>
                <c:pt idx="51" formatCode="General">
                  <c:v>52</c:v>
                </c:pt>
                <c:pt idx="52" formatCode="General">
                  <c:v>53</c:v>
                </c:pt>
                <c:pt idx="53" formatCode="General">
                  <c:v>54</c:v>
                </c:pt>
                <c:pt idx="54" formatCode="General">
                  <c:v>55</c:v>
                </c:pt>
                <c:pt idx="55" formatCode="General">
                  <c:v>56</c:v>
                </c:pt>
                <c:pt idx="56" formatCode="General">
                  <c:v>57</c:v>
                </c:pt>
                <c:pt idx="57" formatCode="General">
                  <c:v>58</c:v>
                </c:pt>
                <c:pt idx="58" formatCode="General">
                  <c:v>59</c:v>
                </c:pt>
                <c:pt idx="59" formatCode="General">
                  <c:v>60</c:v>
                </c:pt>
                <c:pt idx="60" formatCode="General">
                  <c:v>61</c:v>
                </c:pt>
                <c:pt idx="61" formatCode="General">
                  <c:v>62</c:v>
                </c:pt>
                <c:pt idx="62" formatCode="General">
                  <c:v>63</c:v>
                </c:pt>
                <c:pt idx="63" formatCode="General">
                  <c:v>64</c:v>
                </c:pt>
                <c:pt idx="64" formatCode="General">
                  <c:v>65</c:v>
                </c:pt>
                <c:pt idx="65" formatCode="General">
                  <c:v>66</c:v>
                </c:pt>
                <c:pt idx="66" formatCode="General">
                  <c:v>67</c:v>
                </c:pt>
                <c:pt idx="67" formatCode="General">
                  <c:v>68</c:v>
                </c:pt>
                <c:pt idx="68" formatCode="General">
                  <c:v>69</c:v>
                </c:pt>
                <c:pt idx="69" formatCode="General">
                  <c:v>70</c:v>
                </c:pt>
                <c:pt idx="70" formatCode="General">
                  <c:v>71</c:v>
                </c:pt>
                <c:pt idx="71" formatCode="General">
                  <c:v>72</c:v>
                </c:pt>
                <c:pt idx="72" formatCode="General">
                  <c:v>73</c:v>
                </c:pt>
                <c:pt idx="73" formatCode="General">
                  <c:v>74</c:v>
                </c:pt>
                <c:pt idx="74" formatCode="General">
                  <c:v>75</c:v>
                </c:pt>
                <c:pt idx="75" formatCode="General">
                  <c:v>76</c:v>
                </c:pt>
                <c:pt idx="76" formatCode="General">
                  <c:v>77</c:v>
                </c:pt>
                <c:pt idx="77" formatCode="General">
                  <c:v>78</c:v>
                </c:pt>
                <c:pt idx="78" formatCode="General">
                  <c:v>79</c:v>
                </c:pt>
                <c:pt idx="79" formatCode="General">
                  <c:v>80</c:v>
                </c:pt>
                <c:pt idx="80" formatCode="General">
                  <c:v>81</c:v>
                </c:pt>
                <c:pt idx="81" formatCode="General">
                  <c:v>82</c:v>
                </c:pt>
                <c:pt idx="82" formatCode="General">
                  <c:v>83</c:v>
                </c:pt>
                <c:pt idx="83" formatCode="General">
                  <c:v>84</c:v>
                </c:pt>
                <c:pt idx="84" formatCode="General">
                  <c:v>85</c:v>
                </c:pt>
                <c:pt idx="85" formatCode="General">
                  <c:v>86</c:v>
                </c:pt>
                <c:pt idx="86" formatCode="General">
                  <c:v>87</c:v>
                </c:pt>
                <c:pt idx="87" formatCode="General">
                  <c:v>88</c:v>
                </c:pt>
                <c:pt idx="88" formatCode="General">
                  <c:v>89</c:v>
                </c:pt>
                <c:pt idx="89" formatCode="General">
                  <c:v>90</c:v>
                </c:pt>
                <c:pt idx="90" formatCode="General">
                  <c:v>91</c:v>
                </c:pt>
                <c:pt idx="91" formatCode="General">
                  <c:v>92</c:v>
                </c:pt>
                <c:pt idx="92" formatCode="General">
                  <c:v>93</c:v>
                </c:pt>
                <c:pt idx="93" formatCode="General">
                  <c:v>94</c:v>
                </c:pt>
                <c:pt idx="94" formatCode="General">
                  <c:v>95</c:v>
                </c:pt>
                <c:pt idx="95" formatCode="General">
                  <c:v>96</c:v>
                </c:pt>
                <c:pt idx="96" formatCode="General">
                  <c:v>97</c:v>
                </c:pt>
                <c:pt idx="97" formatCode="General">
                  <c:v>98</c:v>
                </c:pt>
                <c:pt idx="98" formatCode="General">
                  <c:v>99</c:v>
                </c:pt>
                <c:pt idx="99" formatCode="General">
                  <c:v>100</c:v>
                </c:pt>
              </c:numCache>
            </c:numRef>
          </c:xVal>
          <c:yVal>
            <c:numRef>
              <c:f>'ANSP 15766'!$L$4:$L$103</c:f>
              <c:numCache>
                <c:formatCode>0.00</c:formatCode>
                <c:ptCount val="100"/>
                <c:pt idx="0" formatCode="General">
                  <c:v>1.1399999999999999</c:v>
                </c:pt>
                <c:pt idx="1">
                  <c:v>1.39</c:v>
                </c:pt>
                <c:pt idx="2">
                  <c:v>1.45</c:v>
                </c:pt>
                <c:pt idx="3">
                  <c:v>1.35</c:v>
                </c:pt>
                <c:pt idx="4">
                  <c:v>1.58</c:v>
                </c:pt>
                <c:pt idx="5">
                  <c:v>1.6</c:v>
                </c:pt>
                <c:pt idx="6">
                  <c:v>1.48</c:v>
                </c:pt>
                <c:pt idx="7" formatCode="General">
                  <c:v>1.31</c:v>
                </c:pt>
                <c:pt idx="9">
                  <c:v>1.62</c:v>
                </c:pt>
                <c:pt idx="10">
                  <c:v>1.57</c:v>
                </c:pt>
                <c:pt idx="11">
                  <c:v>1.81</c:v>
                </c:pt>
                <c:pt idx="12">
                  <c:v>1.84</c:v>
                </c:pt>
                <c:pt idx="13">
                  <c:v>1.92</c:v>
                </c:pt>
                <c:pt idx="14">
                  <c:v>1.86</c:v>
                </c:pt>
                <c:pt idx="15">
                  <c:v>1.81</c:v>
                </c:pt>
                <c:pt idx="16">
                  <c:v>1.73</c:v>
                </c:pt>
                <c:pt idx="17">
                  <c:v>1.9</c:v>
                </c:pt>
                <c:pt idx="18">
                  <c:v>2.1800000000000002</c:v>
                </c:pt>
                <c:pt idx="19">
                  <c:v>2.1</c:v>
                </c:pt>
                <c:pt idx="20" formatCode="General">
                  <c:v>2.17</c:v>
                </c:pt>
                <c:pt idx="21" formatCode="General">
                  <c:v>2.15</c:v>
                </c:pt>
                <c:pt idx="22" formatCode="General">
                  <c:v>2.25</c:v>
                </c:pt>
                <c:pt idx="23" formatCode="General">
                  <c:v>2.35</c:v>
                </c:pt>
                <c:pt idx="24" formatCode="General">
                  <c:v>2.25</c:v>
                </c:pt>
                <c:pt idx="25" formatCode="General">
                  <c:v>2.2000000000000002</c:v>
                </c:pt>
                <c:pt idx="26" formatCode="General">
                  <c:v>2.23</c:v>
                </c:pt>
                <c:pt idx="27" formatCode="General">
                  <c:v>2.39</c:v>
                </c:pt>
                <c:pt idx="28" formatCode="General">
                  <c:v>2.2000000000000002</c:v>
                </c:pt>
                <c:pt idx="29" formatCode="General">
                  <c:v>2.5499999999999998</c:v>
                </c:pt>
                <c:pt idx="30">
                  <c:v>2.38</c:v>
                </c:pt>
                <c:pt idx="31" formatCode="General">
                  <c:v>2.42</c:v>
                </c:pt>
                <c:pt idx="32" formatCode="General">
                  <c:v>2.3199999999999998</c:v>
                </c:pt>
                <c:pt idx="33" formatCode="General">
                  <c:v>2.08</c:v>
                </c:pt>
                <c:pt idx="34" formatCode="General">
                  <c:v>2.1800000000000002</c:v>
                </c:pt>
                <c:pt idx="35" formatCode="General">
                  <c:v>2.29</c:v>
                </c:pt>
                <c:pt idx="36" formatCode="General">
                  <c:v>2.27</c:v>
                </c:pt>
                <c:pt idx="37" formatCode="General">
                  <c:v>2.31</c:v>
                </c:pt>
                <c:pt idx="38" formatCode="General">
                  <c:v>2.64</c:v>
                </c:pt>
                <c:pt idx="39" formatCode="General">
                  <c:v>2.3199999999999998</c:v>
                </c:pt>
                <c:pt idx="40" formatCode="General">
                  <c:v>2.15</c:v>
                </c:pt>
                <c:pt idx="41" formatCode="General">
                  <c:v>2.06</c:v>
                </c:pt>
                <c:pt idx="42" formatCode="General">
                  <c:v>2.16</c:v>
                </c:pt>
                <c:pt idx="43" formatCode="General">
                  <c:v>2.2400000000000002</c:v>
                </c:pt>
                <c:pt idx="44" formatCode="General">
                  <c:v>2.12</c:v>
                </c:pt>
                <c:pt idx="45" formatCode="General">
                  <c:v>1.81</c:v>
                </c:pt>
                <c:pt idx="46" formatCode="General">
                  <c:v>1.87</c:v>
                </c:pt>
                <c:pt idx="47" formatCode="General">
                  <c:v>2.02</c:v>
                </c:pt>
                <c:pt idx="48" formatCode="General">
                  <c:v>1.92</c:v>
                </c:pt>
                <c:pt idx="49" formatCode="General">
                  <c:v>1.93</c:v>
                </c:pt>
                <c:pt idx="50" formatCode="General">
                  <c:v>2.11</c:v>
                </c:pt>
                <c:pt idx="51" formatCode="General">
                  <c:v>2.09</c:v>
                </c:pt>
                <c:pt idx="52" formatCode="General">
                  <c:v>2.02</c:v>
                </c:pt>
                <c:pt idx="53" formatCode="General">
                  <c:v>1.92</c:v>
                </c:pt>
                <c:pt idx="54" formatCode="General">
                  <c:v>1.82</c:v>
                </c:pt>
                <c:pt idx="55" formatCode="General">
                  <c:v>2.0499999999999998</c:v>
                </c:pt>
                <c:pt idx="56" formatCode="General">
                  <c:v>1.71</c:v>
                </c:pt>
                <c:pt idx="57" formatCode="General">
                  <c:v>1.72</c:v>
                </c:pt>
                <c:pt idx="58" formatCode="General">
                  <c:v>1.71</c:v>
                </c:pt>
                <c:pt idx="59" formatCode="General">
                  <c:v>1.41</c:v>
                </c:pt>
                <c:pt idx="60" formatCode="General">
                  <c:v>1.52</c:v>
                </c:pt>
                <c:pt idx="61" formatCode="General">
                  <c:v>1.65</c:v>
                </c:pt>
                <c:pt idx="62" formatCode="General">
                  <c:v>1.35</c:v>
                </c:pt>
                <c:pt idx="63" formatCode="General">
                  <c:v>1.34</c:v>
                </c:pt>
                <c:pt idx="64" formatCode="General">
                  <c:v>1.47</c:v>
                </c:pt>
                <c:pt idx="65" formatCode="General">
                  <c:v>1.25</c:v>
                </c:pt>
                <c:pt idx="66" formatCode="General">
                  <c:v>1.26</c:v>
                </c:pt>
                <c:pt idx="67" formatCode="General">
                  <c:v>1.22</c:v>
                </c:pt>
                <c:pt idx="68" formatCode="General">
                  <c:v>1.38</c:v>
                </c:pt>
                <c:pt idx="69">
                  <c:v>1.3</c:v>
                </c:pt>
                <c:pt idx="71" formatCode="General">
                  <c:v>1.18</c:v>
                </c:pt>
                <c:pt idx="72" formatCode="General">
                  <c:v>1.08</c:v>
                </c:pt>
                <c:pt idx="73" formatCode="General">
                  <c:v>1.08</c:v>
                </c:pt>
                <c:pt idx="74" formatCode="General">
                  <c:v>0.67</c:v>
                </c:pt>
                <c:pt idx="75" formatCode="General">
                  <c:v>0.66999999999999993</c:v>
                </c:pt>
                <c:pt idx="76" formatCode="General">
                  <c:v>0.63</c:v>
                </c:pt>
                <c:pt idx="77">
                  <c:v>0.54499999999999993</c:v>
                </c:pt>
                <c:pt idx="78" formatCode="General">
                  <c:v>0.54</c:v>
                </c:pt>
                <c:pt idx="79" formatCode="General">
                  <c:v>0.51</c:v>
                </c:pt>
                <c:pt idx="82" formatCode="General">
                  <c:v>0.71</c:v>
                </c:pt>
                <c:pt idx="83" formatCode="General">
                  <c:v>0.74</c:v>
                </c:pt>
                <c:pt idx="84" formatCode="General">
                  <c:v>0.78</c:v>
                </c:pt>
                <c:pt idx="85" formatCode="General">
                  <c:v>0.86</c:v>
                </c:pt>
                <c:pt idx="86" formatCode="General">
                  <c:v>0.86</c:v>
                </c:pt>
                <c:pt idx="87">
                  <c:v>0.9</c:v>
                </c:pt>
                <c:pt idx="88" formatCode="General">
                  <c:v>0.93</c:v>
                </c:pt>
                <c:pt idx="89" formatCode="General">
                  <c:v>0.89</c:v>
                </c:pt>
                <c:pt idx="90" formatCode="General">
                  <c:v>0.83</c:v>
                </c:pt>
                <c:pt idx="91" formatCode="General">
                  <c:v>0.83</c:v>
                </c:pt>
                <c:pt idx="92" formatCode="General">
                  <c:v>0.88</c:v>
                </c:pt>
                <c:pt idx="93" formatCode="General">
                  <c:v>0.9</c:v>
                </c:pt>
                <c:pt idx="94" formatCode="General">
                  <c:v>0.84</c:v>
                </c:pt>
                <c:pt idx="95" formatCode="General">
                  <c:v>0.78</c:v>
                </c:pt>
                <c:pt idx="96" formatCode="General">
                  <c:v>0.83</c:v>
                </c:pt>
                <c:pt idx="98" formatCode="General">
                  <c:v>0.7</c:v>
                </c:pt>
                <c:pt idx="99" formatCode="General">
                  <c:v>0.67</c:v>
                </c:pt>
              </c:numCache>
            </c:numRef>
          </c:yVal>
          <c:smooth val="0"/>
        </c:ser>
        <c:ser>
          <c:idx val="1"/>
          <c:order val="1"/>
          <c:tx>
            <c:v>height</c:v>
          </c:tx>
          <c:spPr>
            <a:ln>
              <a:solidFill>
                <a:schemeClr val="tx1"/>
              </a:solidFill>
            </a:ln>
          </c:spPr>
          <c:marker>
            <c:symbol val="squar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'ANSP 15766'!$K$4:$K$103</c:f>
              <c:numCache>
                <c:formatCode>0</c:formatCode>
                <c:ptCount val="100"/>
                <c:pt idx="0" formatCode="General">
                  <c:v>1</c:v>
                </c:pt>
                <c:pt idx="1">
                  <c:v>2</c:v>
                </c:pt>
                <c:pt idx="2" formatCode="General">
                  <c:v>3</c:v>
                </c:pt>
                <c:pt idx="3" formatCode="General">
                  <c:v>4</c:v>
                </c:pt>
                <c:pt idx="4" formatCode="General">
                  <c:v>5</c:v>
                </c:pt>
                <c:pt idx="5" formatCode="General">
                  <c:v>6</c:v>
                </c:pt>
                <c:pt idx="6" formatCode="General">
                  <c:v>7</c:v>
                </c:pt>
                <c:pt idx="7" formatCode="General">
                  <c:v>8</c:v>
                </c:pt>
                <c:pt idx="8" formatCode="General">
                  <c:v>9</c:v>
                </c:pt>
                <c:pt idx="9" formatCode="General">
                  <c:v>10</c:v>
                </c:pt>
                <c:pt idx="10" formatCode="General">
                  <c:v>11</c:v>
                </c:pt>
                <c:pt idx="11" formatCode="General">
                  <c:v>12</c:v>
                </c:pt>
                <c:pt idx="12" formatCode="General">
                  <c:v>13</c:v>
                </c:pt>
                <c:pt idx="13" formatCode="General">
                  <c:v>14</c:v>
                </c:pt>
                <c:pt idx="14" formatCode="General">
                  <c:v>15</c:v>
                </c:pt>
                <c:pt idx="15" formatCode="General">
                  <c:v>16</c:v>
                </c:pt>
                <c:pt idx="16" formatCode="General">
                  <c:v>17</c:v>
                </c:pt>
                <c:pt idx="17" formatCode="General">
                  <c:v>18</c:v>
                </c:pt>
                <c:pt idx="18" formatCode="General">
                  <c:v>19</c:v>
                </c:pt>
                <c:pt idx="19" formatCode="General">
                  <c:v>20</c:v>
                </c:pt>
                <c:pt idx="20" formatCode="General">
                  <c:v>21</c:v>
                </c:pt>
                <c:pt idx="21" formatCode="General">
                  <c:v>22</c:v>
                </c:pt>
                <c:pt idx="22" formatCode="General">
                  <c:v>23</c:v>
                </c:pt>
                <c:pt idx="23" formatCode="General">
                  <c:v>24</c:v>
                </c:pt>
                <c:pt idx="24" formatCode="General">
                  <c:v>25</c:v>
                </c:pt>
                <c:pt idx="25" formatCode="General">
                  <c:v>26</c:v>
                </c:pt>
                <c:pt idx="26" formatCode="General">
                  <c:v>27</c:v>
                </c:pt>
                <c:pt idx="27" formatCode="General">
                  <c:v>28</c:v>
                </c:pt>
                <c:pt idx="28" formatCode="General">
                  <c:v>29</c:v>
                </c:pt>
                <c:pt idx="29" formatCode="General">
                  <c:v>30</c:v>
                </c:pt>
                <c:pt idx="30" formatCode="General">
                  <c:v>31</c:v>
                </c:pt>
                <c:pt idx="31" formatCode="General">
                  <c:v>32</c:v>
                </c:pt>
                <c:pt idx="32" formatCode="General">
                  <c:v>33</c:v>
                </c:pt>
                <c:pt idx="33" formatCode="General">
                  <c:v>34</c:v>
                </c:pt>
                <c:pt idx="34" formatCode="General">
                  <c:v>35</c:v>
                </c:pt>
                <c:pt idx="35" formatCode="General">
                  <c:v>36</c:v>
                </c:pt>
                <c:pt idx="36" formatCode="General">
                  <c:v>37</c:v>
                </c:pt>
                <c:pt idx="37" formatCode="General">
                  <c:v>38</c:v>
                </c:pt>
                <c:pt idx="38" formatCode="General">
                  <c:v>39</c:v>
                </c:pt>
                <c:pt idx="39" formatCode="General">
                  <c:v>40</c:v>
                </c:pt>
                <c:pt idx="40" formatCode="General">
                  <c:v>41</c:v>
                </c:pt>
                <c:pt idx="41" formatCode="General">
                  <c:v>42</c:v>
                </c:pt>
                <c:pt idx="42" formatCode="General">
                  <c:v>43</c:v>
                </c:pt>
                <c:pt idx="43" formatCode="General">
                  <c:v>44</c:v>
                </c:pt>
                <c:pt idx="44" formatCode="General">
                  <c:v>45</c:v>
                </c:pt>
                <c:pt idx="45" formatCode="General">
                  <c:v>46</c:v>
                </c:pt>
                <c:pt idx="46" formatCode="General">
                  <c:v>47</c:v>
                </c:pt>
                <c:pt idx="47" formatCode="General">
                  <c:v>48</c:v>
                </c:pt>
                <c:pt idx="48" formatCode="General">
                  <c:v>49</c:v>
                </c:pt>
                <c:pt idx="49" formatCode="General">
                  <c:v>50</c:v>
                </c:pt>
                <c:pt idx="50" formatCode="General">
                  <c:v>51</c:v>
                </c:pt>
                <c:pt idx="51" formatCode="General">
                  <c:v>52</c:v>
                </c:pt>
                <c:pt idx="52" formatCode="General">
                  <c:v>53</c:v>
                </c:pt>
                <c:pt idx="53" formatCode="General">
                  <c:v>54</c:v>
                </c:pt>
                <c:pt idx="54" formatCode="General">
                  <c:v>55</c:v>
                </c:pt>
                <c:pt idx="55" formatCode="General">
                  <c:v>56</c:v>
                </c:pt>
                <c:pt idx="56" formatCode="General">
                  <c:v>57</c:v>
                </c:pt>
                <c:pt idx="57" formatCode="General">
                  <c:v>58</c:v>
                </c:pt>
                <c:pt idx="58" formatCode="General">
                  <c:v>59</c:v>
                </c:pt>
                <c:pt idx="59" formatCode="General">
                  <c:v>60</c:v>
                </c:pt>
                <c:pt idx="60" formatCode="General">
                  <c:v>61</c:v>
                </c:pt>
                <c:pt idx="61" formatCode="General">
                  <c:v>62</c:v>
                </c:pt>
                <c:pt idx="62" formatCode="General">
                  <c:v>63</c:v>
                </c:pt>
                <c:pt idx="63" formatCode="General">
                  <c:v>64</c:v>
                </c:pt>
                <c:pt idx="64" formatCode="General">
                  <c:v>65</c:v>
                </c:pt>
                <c:pt idx="65" formatCode="General">
                  <c:v>66</c:v>
                </c:pt>
                <c:pt idx="66" formatCode="General">
                  <c:v>67</c:v>
                </c:pt>
                <c:pt idx="67" formatCode="General">
                  <c:v>68</c:v>
                </c:pt>
                <c:pt idx="68" formatCode="General">
                  <c:v>69</c:v>
                </c:pt>
                <c:pt idx="69" formatCode="General">
                  <c:v>70</c:v>
                </c:pt>
                <c:pt idx="70" formatCode="General">
                  <c:v>71</c:v>
                </c:pt>
                <c:pt idx="71" formatCode="General">
                  <c:v>72</c:v>
                </c:pt>
                <c:pt idx="72" formatCode="General">
                  <c:v>73</c:v>
                </c:pt>
                <c:pt idx="73" formatCode="General">
                  <c:v>74</c:v>
                </c:pt>
                <c:pt idx="74" formatCode="General">
                  <c:v>75</c:v>
                </c:pt>
                <c:pt idx="75" formatCode="General">
                  <c:v>76</c:v>
                </c:pt>
                <c:pt idx="76" formatCode="General">
                  <c:v>77</c:v>
                </c:pt>
                <c:pt idx="77" formatCode="General">
                  <c:v>78</c:v>
                </c:pt>
                <c:pt idx="78" formatCode="General">
                  <c:v>79</c:v>
                </c:pt>
                <c:pt idx="79" formatCode="General">
                  <c:v>80</c:v>
                </c:pt>
                <c:pt idx="80" formatCode="General">
                  <c:v>81</c:v>
                </c:pt>
                <c:pt idx="81" formatCode="General">
                  <c:v>82</c:v>
                </c:pt>
                <c:pt idx="82" formatCode="General">
                  <c:v>83</c:v>
                </c:pt>
                <c:pt idx="83" formatCode="General">
                  <c:v>84</c:v>
                </c:pt>
                <c:pt idx="84" formatCode="General">
                  <c:v>85</c:v>
                </c:pt>
                <c:pt idx="85" formatCode="General">
                  <c:v>86</c:v>
                </c:pt>
                <c:pt idx="86" formatCode="General">
                  <c:v>87</c:v>
                </c:pt>
                <c:pt idx="87" formatCode="General">
                  <c:v>88</c:v>
                </c:pt>
                <c:pt idx="88" formatCode="General">
                  <c:v>89</c:v>
                </c:pt>
                <c:pt idx="89" formatCode="General">
                  <c:v>90</c:v>
                </c:pt>
                <c:pt idx="90" formatCode="General">
                  <c:v>91</c:v>
                </c:pt>
                <c:pt idx="91" formatCode="General">
                  <c:v>92</c:v>
                </c:pt>
                <c:pt idx="92" formatCode="General">
                  <c:v>93</c:v>
                </c:pt>
                <c:pt idx="93" formatCode="General">
                  <c:v>94</c:v>
                </c:pt>
                <c:pt idx="94" formatCode="General">
                  <c:v>95</c:v>
                </c:pt>
                <c:pt idx="95" formatCode="General">
                  <c:v>96</c:v>
                </c:pt>
                <c:pt idx="96" formatCode="General">
                  <c:v>97</c:v>
                </c:pt>
                <c:pt idx="97" formatCode="General">
                  <c:v>98</c:v>
                </c:pt>
                <c:pt idx="98" formatCode="General">
                  <c:v>99</c:v>
                </c:pt>
                <c:pt idx="99" formatCode="General">
                  <c:v>100</c:v>
                </c:pt>
              </c:numCache>
            </c:numRef>
          </c:xVal>
          <c:yVal>
            <c:numRef>
              <c:f>'ANSP 15766'!$M$4:$M$103</c:f>
              <c:numCache>
                <c:formatCode>General</c:formatCode>
                <c:ptCount val="100"/>
                <c:pt idx="0">
                  <c:v>4.37</c:v>
                </c:pt>
                <c:pt idx="1">
                  <c:v>4.12</c:v>
                </c:pt>
                <c:pt idx="2">
                  <c:v>3.32</c:v>
                </c:pt>
                <c:pt idx="4">
                  <c:v>3.31</c:v>
                </c:pt>
                <c:pt idx="7">
                  <c:v>3.34</c:v>
                </c:pt>
                <c:pt idx="8">
                  <c:v>3.54</c:v>
                </c:pt>
                <c:pt idx="9">
                  <c:v>3.02</c:v>
                </c:pt>
                <c:pt idx="10">
                  <c:v>3.35</c:v>
                </c:pt>
                <c:pt idx="14" formatCode="0.00">
                  <c:v>3.4</c:v>
                </c:pt>
                <c:pt idx="15">
                  <c:v>3.51</c:v>
                </c:pt>
                <c:pt idx="16">
                  <c:v>4.05</c:v>
                </c:pt>
                <c:pt idx="17">
                  <c:v>4.0599999999999996</c:v>
                </c:pt>
                <c:pt idx="18" formatCode="0.00">
                  <c:v>4.3</c:v>
                </c:pt>
                <c:pt idx="19">
                  <c:v>3.97</c:v>
                </c:pt>
                <c:pt idx="20">
                  <c:v>4.55</c:v>
                </c:pt>
                <c:pt idx="22">
                  <c:v>3.25</c:v>
                </c:pt>
                <c:pt idx="34">
                  <c:v>4.41</c:v>
                </c:pt>
                <c:pt idx="35">
                  <c:v>4.51</c:v>
                </c:pt>
                <c:pt idx="36">
                  <c:v>4.34</c:v>
                </c:pt>
                <c:pt idx="37">
                  <c:v>4.4800000000000004</c:v>
                </c:pt>
                <c:pt idx="38">
                  <c:v>4.6500000000000004</c:v>
                </c:pt>
                <c:pt idx="39">
                  <c:v>4.71</c:v>
                </c:pt>
                <c:pt idx="40" formatCode="0.00">
                  <c:v>4.5999999999999996</c:v>
                </c:pt>
                <c:pt idx="41">
                  <c:v>4.6500000000000004</c:v>
                </c:pt>
                <c:pt idx="42">
                  <c:v>4.5199999999999996</c:v>
                </c:pt>
                <c:pt idx="43">
                  <c:v>4.6100000000000003</c:v>
                </c:pt>
                <c:pt idx="44">
                  <c:v>4.3600000000000003</c:v>
                </c:pt>
                <c:pt idx="45">
                  <c:v>4.42</c:v>
                </c:pt>
                <c:pt idx="46">
                  <c:v>4.42</c:v>
                </c:pt>
                <c:pt idx="47">
                  <c:v>4.3499999999999996</c:v>
                </c:pt>
                <c:pt idx="48">
                  <c:v>4.4800000000000004</c:v>
                </c:pt>
                <c:pt idx="49">
                  <c:v>4.25</c:v>
                </c:pt>
                <c:pt idx="50">
                  <c:v>4.17</c:v>
                </c:pt>
                <c:pt idx="51">
                  <c:v>4.03</c:v>
                </c:pt>
                <c:pt idx="52">
                  <c:v>4.1900000000000004</c:v>
                </c:pt>
                <c:pt idx="53">
                  <c:v>3.98</c:v>
                </c:pt>
                <c:pt idx="54">
                  <c:v>3.87</c:v>
                </c:pt>
                <c:pt idx="55">
                  <c:v>3.99</c:v>
                </c:pt>
                <c:pt idx="56">
                  <c:v>3.82</c:v>
                </c:pt>
                <c:pt idx="57">
                  <c:v>3.67</c:v>
                </c:pt>
                <c:pt idx="58">
                  <c:v>3.66</c:v>
                </c:pt>
                <c:pt idx="59">
                  <c:v>3.64</c:v>
                </c:pt>
                <c:pt idx="60" formatCode="0.00">
                  <c:v>3.6</c:v>
                </c:pt>
                <c:pt idx="61">
                  <c:v>3.62</c:v>
                </c:pt>
                <c:pt idx="62">
                  <c:v>3.44</c:v>
                </c:pt>
                <c:pt idx="63">
                  <c:v>3.22</c:v>
                </c:pt>
                <c:pt idx="64">
                  <c:v>3.26</c:v>
                </c:pt>
                <c:pt idx="65">
                  <c:v>3.38</c:v>
                </c:pt>
                <c:pt idx="66" formatCode="0.00">
                  <c:v>3.2</c:v>
                </c:pt>
                <c:pt idx="67">
                  <c:v>3.23</c:v>
                </c:pt>
                <c:pt idx="69">
                  <c:v>2.69</c:v>
                </c:pt>
                <c:pt idx="70">
                  <c:v>2.5099999999999998</c:v>
                </c:pt>
                <c:pt idx="71">
                  <c:v>2.46</c:v>
                </c:pt>
                <c:pt idx="72">
                  <c:v>2.31</c:v>
                </c:pt>
                <c:pt idx="73">
                  <c:v>2.37</c:v>
                </c:pt>
                <c:pt idx="74">
                  <c:v>2.19</c:v>
                </c:pt>
                <c:pt idx="75" formatCode="0.00">
                  <c:v>2.1</c:v>
                </c:pt>
                <c:pt idx="76">
                  <c:v>1.97</c:v>
                </c:pt>
                <c:pt idx="77">
                  <c:v>1.82</c:v>
                </c:pt>
                <c:pt idx="78">
                  <c:v>2.0099999999999998</c:v>
                </c:pt>
                <c:pt idx="79">
                  <c:v>1.78</c:v>
                </c:pt>
                <c:pt idx="80">
                  <c:v>2.04</c:v>
                </c:pt>
                <c:pt idx="81">
                  <c:v>2.0499999999999998</c:v>
                </c:pt>
                <c:pt idx="82">
                  <c:v>2.14</c:v>
                </c:pt>
                <c:pt idx="83">
                  <c:v>1.93</c:v>
                </c:pt>
                <c:pt idx="84">
                  <c:v>1.99</c:v>
                </c:pt>
                <c:pt idx="85" formatCode="0.00">
                  <c:v>2</c:v>
                </c:pt>
                <c:pt idx="86">
                  <c:v>1.97</c:v>
                </c:pt>
                <c:pt idx="87">
                  <c:v>1.83</c:v>
                </c:pt>
                <c:pt idx="88">
                  <c:v>1.81</c:v>
                </c:pt>
                <c:pt idx="89">
                  <c:v>1.86</c:v>
                </c:pt>
                <c:pt idx="90">
                  <c:v>1.8</c:v>
                </c:pt>
                <c:pt idx="91">
                  <c:v>1.74</c:v>
                </c:pt>
                <c:pt idx="92">
                  <c:v>1.71</c:v>
                </c:pt>
                <c:pt idx="93">
                  <c:v>1.71</c:v>
                </c:pt>
                <c:pt idx="94">
                  <c:v>1.71</c:v>
                </c:pt>
                <c:pt idx="95">
                  <c:v>1.63</c:v>
                </c:pt>
                <c:pt idx="96">
                  <c:v>1.65</c:v>
                </c:pt>
                <c:pt idx="98">
                  <c:v>1.44</c:v>
                </c:pt>
                <c:pt idx="99">
                  <c:v>1.39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1858048"/>
        <c:axId val="71860608"/>
      </c:scatterChart>
      <c:valAx>
        <c:axId val="71858048"/>
        <c:scaling>
          <c:orientation val="minMax"/>
          <c:max val="1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/>
                  <a:t>Vertebral position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71860608"/>
        <c:crosses val="autoZero"/>
        <c:crossBetween val="midCat"/>
        <c:majorUnit val="10"/>
        <c:minorUnit val="5"/>
      </c:valAx>
      <c:valAx>
        <c:axId val="718606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400"/>
                  <a:t>Dimension in cm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185804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0.45046</cdr:x>
      <cdr:y>0.23842</cdr:y>
    </cdr:from>
    <cdr:to>
      <cdr:x>0.45415</cdr:x>
      <cdr:y>0.79325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2677363" y="782727"/>
          <a:ext cx="21947" cy="1821485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0.66462</cdr:x>
      <cdr:y>0.23842</cdr:y>
    </cdr:from>
    <cdr:to>
      <cdr:x>0.66585</cdr:x>
      <cdr:y>0.79103</cdr:y>
    </cdr:to>
    <cdr:cxnSp macro="">
      <cdr:nvCxnSpPr>
        <cdr:cNvPr id="6" name="Straight Connector 5"/>
        <cdr:cNvCxnSpPr/>
      </cdr:nvCxnSpPr>
      <cdr:spPr>
        <a:xfrm xmlns:a="http://schemas.openxmlformats.org/drawingml/2006/main">
          <a:off x="3950208" y="782727"/>
          <a:ext cx="7315" cy="181417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0.25356</cdr:x>
      <cdr:y>0.71972</cdr:y>
    </cdr:from>
    <cdr:to>
      <cdr:x>0.352</cdr:x>
      <cdr:y>0.80347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507059" y="2362811"/>
          <a:ext cx="585088" cy="2749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/>
            <a:t>trunk</a:t>
          </a:r>
        </a:p>
      </cdr:txBody>
    </cdr:sp>
  </cdr:relSizeAnchor>
  <cdr:relSizeAnchor xmlns:cdr="http://schemas.openxmlformats.org/drawingml/2006/chartDrawing">
    <cdr:from>
      <cdr:x>0.50115</cdr:x>
      <cdr:y>0.72144</cdr:y>
    </cdr:from>
    <cdr:to>
      <cdr:x>0.62534</cdr:x>
      <cdr:y>0.79542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2978658" y="2368441"/>
          <a:ext cx="738135" cy="2428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400"/>
            <a:t>tail stock</a:t>
          </a:r>
        </a:p>
      </cdr:txBody>
    </cdr:sp>
  </cdr:relSizeAnchor>
  <cdr:relSizeAnchor xmlns:cdr="http://schemas.openxmlformats.org/drawingml/2006/chartDrawing">
    <cdr:from>
      <cdr:x>0.72283</cdr:x>
      <cdr:y>0.72394</cdr:y>
    </cdr:from>
    <cdr:to>
      <cdr:x>0.84702</cdr:x>
      <cdr:y>0.79315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4296226" y="2376644"/>
          <a:ext cx="738136" cy="2272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400"/>
            <a:t>fluke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C92F-A564-465D-A730-EC205C16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Massare</dc:creator>
  <cp:lastModifiedBy>J Massare</cp:lastModifiedBy>
  <cp:revision>10</cp:revision>
  <dcterms:created xsi:type="dcterms:W3CDTF">2016-07-01T01:39:00Z</dcterms:created>
  <dcterms:modified xsi:type="dcterms:W3CDTF">2016-08-09T16:09:00Z</dcterms:modified>
</cp:coreProperties>
</file>