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18E23" w14:textId="77777777" w:rsidR="00990C1D" w:rsidRDefault="000A1BA2" w:rsidP="009F3B8D">
      <w:pPr>
        <w:autoSpaceDE w:val="0"/>
        <w:autoSpaceDN w:val="0"/>
        <w:adjustRightInd w:val="0"/>
        <w:spacing w:line="480" w:lineRule="auto"/>
        <w:ind w:firstLine="360"/>
        <w:jc w:val="both"/>
        <w:rPr>
          <w:lang w:val="en-GB"/>
        </w:rPr>
      </w:pPr>
      <w:r>
        <w:rPr>
          <w:b/>
          <w:lang w:val="en-GB"/>
        </w:rPr>
        <w:t>Appendix D</w:t>
      </w:r>
      <w:bookmarkStart w:id="0" w:name="_GoBack"/>
      <w:bookmarkEnd w:id="0"/>
      <w:r w:rsidR="009F3B8D" w:rsidRPr="009F3B8D">
        <w:rPr>
          <w:b/>
          <w:lang w:val="en-GB"/>
        </w:rPr>
        <w:t>1.</w:t>
      </w:r>
      <w:r w:rsidR="009F3B8D">
        <w:rPr>
          <w:lang w:val="en-GB"/>
        </w:rPr>
        <w:t xml:space="preserve"> R</w:t>
      </w:r>
      <w:r w:rsidR="00990C1D" w:rsidRPr="00C259DE">
        <w:rPr>
          <w:lang w:val="en-GB"/>
        </w:rPr>
        <w:t>ules</w:t>
      </w:r>
      <w:r w:rsidR="00990C1D">
        <w:rPr>
          <w:lang w:val="en-GB"/>
        </w:rPr>
        <w:t xml:space="preserve"> used</w:t>
      </w:r>
      <w:r w:rsidR="00990C1D" w:rsidRPr="00C259DE">
        <w:rPr>
          <w:lang w:val="en-GB"/>
        </w:rPr>
        <w:t xml:space="preserve"> to determine the final identifications of OTUs</w:t>
      </w:r>
      <w:r w:rsidR="00735C43">
        <w:rPr>
          <w:lang w:val="en-GB"/>
        </w:rPr>
        <w:t xml:space="preserve"> in guano samples</w:t>
      </w:r>
      <w:r w:rsidR="00990C1D" w:rsidRPr="00C259DE">
        <w:rPr>
          <w:lang w:val="en-GB"/>
        </w:rPr>
        <w:t>.</w:t>
      </w:r>
    </w:p>
    <w:p w14:paraId="12669382" w14:textId="77777777" w:rsidR="009F3B8D" w:rsidRPr="00C259DE" w:rsidRDefault="009F3B8D" w:rsidP="009F3B8D">
      <w:pPr>
        <w:autoSpaceDE w:val="0"/>
        <w:autoSpaceDN w:val="0"/>
        <w:adjustRightInd w:val="0"/>
        <w:spacing w:line="480" w:lineRule="auto"/>
        <w:ind w:firstLine="360"/>
        <w:jc w:val="both"/>
        <w:rPr>
          <w:lang w:val="en-GB"/>
        </w:rPr>
      </w:pPr>
    </w:p>
    <w:p w14:paraId="04359DF3" w14:textId="77777777" w:rsidR="00990C1D" w:rsidRPr="0035534D" w:rsidRDefault="00990C1D" w:rsidP="00990C1D">
      <w:pPr>
        <w:pStyle w:val="Paragraphedeliste"/>
        <w:numPr>
          <w:ilvl w:val="0"/>
          <w:numId w:val="1"/>
        </w:numPr>
        <w:autoSpaceDE w:val="0"/>
        <w:autoSpaceDN w:val="0"/>
        <w:adjustRightInd w:val="0"/>
        <w:spacing w:line="480" w:lineRule="auto"/>
        <w:jc w:val="both"/>
        <w:rPr>
          <w:lang w:val="en-GB"/>
        </w:rPr>
      </w:pPr>
      <w:r w:rsidRPr="0035534D">
        <w:rPr>
          <w:lang w:val="en-GB"/>
        </w:rPr>
        <w:t xml:space="preserve">The identity percentage must be ≥ 97% following the confidence levels described in </w:t>
      </w:r>
      <w:r w:rsidRPr="0035534D">
        <w:rPr>
          <w:lang w:val="en-GB"/>
        </w:rPr>
        <w:fldChar w:fldCharType="begin"/>
      </w:r>
      <w:r w:rsidRPr="0035534D">
        <w:rPr>
          <w:lang w:val="en-GB"/>
        </w:rPr>
        <w:instrText xml:space="preserve"> ADDIN ZOTERO_ITEM CSL_CITATION {"citationID":"6E0wzy2F","properties":{"formattedCitation":"(Galan et al., 2018)","plainCitation":"(Galan et al., 2018)","dontUpdate":true,"noteIndex":0},"citationItems":[{"id":1699,"uris":["http://zotero.org/users/2865333/items/5UMWWSHZ"],"uri":["http://zotero.org/users/2865333/items/5UMWWSHZ"],"itemData":{"id":1699,"type":"article-journal","title":"Metabarcoding for the parallel identification of several hundred predators and their prey: Application to bat species diet analysis","container-title":"Molecular Ecology Resources","page":"474-489","volume":"18","issue":"3","source":"Wiley Online Library","abstract":"Assessing diet variability is of main importance to better understand the biology of bats and design conservation strategies. Although the advent of metabarcoding has facilitated such analyses, this approach does not come without challenges. Biases may occur throughout the whole experiment, from fieldwork to biostatistics, resulting in the detection of false negatives, false positives or low taxonomic resolution. We detail a rigorous metabarcoding approach based on a short COI minibarcode and two-step PCR protocol enabling the “all at once” taxonomic identification of bats and their arthropod prey for several hundreds of samples. Our study includes faecal pellets collected in France from 357 bats representing 16 species, as well as insect mock communities that mimic bat meals of known composition, negative and positive controls. All samples were analysed using three replicates. We compare the efficiency of DNA extraction methods, and we evaluate the effectiveness of our protocol using identification success, taxonomic resolution, sensitivity and amplification biases. Our parallel identification strategy of predators and prey reduces the risk of mis-assigning prey to wrong predators and decreases the number of molecular steps. Controls and replicates enable to filter the data and limit the risk of false positives, hence guaranteeing high confidence results for both prey occurrence and bat species identification. We validate 551 COI variants from arthropod including 18 orders, 117 family, 282 genus and 290 species. Our method therefore provides a rapid, resolutive and cost-effective screening tool for addressing evolutionary ecological issues or developing “chirosurveillance” and conservation strategies.","DOI":"10.1111/1755-0998.12749","ISSN":"1755-0998","title-short":"Metabarcoding for the parallel identification of several hundred predators and their prey","language":"en","author":[{"family":"Galan","given":"Maxime"},{"family":"Pons","given":"Jean-Baptiste"},{"family":"Tournayre","given":"Orianne"},{"family":"Pierre","given":"Éric"},{"family":"Leuchtmann","given":"Maxime"},{"family":"Pontier","given":"Dominique"},{"family":"Charbonnel","given":"Nathalie"}],"issued":{"date-parts":[["2018",5,1]]}}}],"schema":"https://github.com/citation-style-language/schema/raw/master/csl-citation.json"} </w:instrText>
      </w:r>
      <w:r w:rsidRPr="0035534D">
        <w:rPr>
          <w:lang w:val="en-GB"/>
        </w:rPr>
        <w:fldChar w:fldCharType="separate"/>
      </w:r>
      <w:r w:rsidRPr="0035534D">
        <w:rPr>
          <w:rFonts w:ascii="Calibri" w:hAnsi="Calibri"/>
          <w:lang w:val="en-GB"/>
        </w:rPr>
        <w:t>Galan et al. (2018)</w:t>
      </w:r>
      <w:r w:rsidRPr="0035534D">
        <w:rPr>
          <w:lang w:val="en-GB"/>
        </w:rPr>
        <w:fldChar w:fldCharType="end"/>
      </w:r>
      <w:r w:rsidRPr="0035534D">
        <w:rPr>
          <w:lang w:val="en-GB"/>
        </w:rPr>
        <w:t xml:space="preserve"> and the coverage percentage must be ≥ 90 %. The BLAST e-value must be &lt; 1.10</w:t>
      </w:r>
      <w:r w:rsidRPr="0035534D">
        <w:rPr>
          <w:vertAlign w:val="superscript"/>
          <w:lang w:val="en-GB"/>
        </w:rPr>
        <w:t>-40</w:t>
      </w:r>
      <w:r w:rsidRPr="0035534D">
        <w:rPr>
          <w:lang w:val="en-GB"/>
        </w:rPr>
        <w:t>.</w:t>
      </w:r>
    </w:p>
    <w:p w14:paraId="17F91DD7" w14:textId="77777777" w:rsidR="00990C1D" w:rsidRPr="0035534D" w:rsidRDefault="00990C1D" w:rsidP="00990C1D">
      <w:pPr>
        <w:pStyle w:val="Paragraphedeliste"/>
        <w:numPr>
          <w:ilvl w:val="0"/>
          <w:numId w:val="1"/>
        </w:numPr>
        <w:autoSpaceDE w:val="0"/>
        <w:autoSpaceDN w:val="0"/>
        <w:adjustRightInd w:val="0"/>
        <w:spacing w:line="480" w:lineRule="auto"/>
        <w:jc w:val="both"/>
        <w:rPr>
          <w:lang w:val="en-GB"/>
        </w:rPr>
      </w:pPr>
      <w:r w:rsidRPr="0035534D">
        <w:rPr>
          <w:lang w:val="en-GB"/>
        </w:rPr>
        <w:t>For each sample, if several OTUs have the same assignment and confidence level, we only kept the one with the highest number of reads.</w:t>
      </w:r>
    </w:p>
    <w:p w14:paraId="4AFA7B2D" w14:textId="77777777" w:rsidR="00990C1D" w:rsidRPr="00AD61D4" w:rsidRDefault="00990C1D" w:rsidP="00990C1D">
      <w:pPr>
        <w:pStyle w:val="Paragraphedeliste"/>
        <w:numPr>
          <w:ilvl w:val="0"/>
          <w:numId w:val="1"/>
        </w:numPr>
        <w:autoSpaceDE w:val="0"/>
        <w:autoSpaceDN w:val="0"/>
        <w:adjustRightInd w:val="0"/>
        <w:spacing w:line="480" w:lineRule="auto"/>
        <w:jc w:val="both"/>
      </w:pPr>
      <w:r w:rsidRPr="0035534D">
        <w:rPr>
          <w:lang w:val="en-GB"/>
        </w:rPr>
        <w:t>We removed OTUs corresponding to orders that bats do not intentionally eat</w:t>
      </w:r>
      <w:r>
        <w:rPr>
          <w:lang w:val="en-GB"/>
        </w:rPr>
        <w:t xml:space="preserve"> </w:t>
      </w:r>
      <w:r w:rsidRPr="0035534D">
        <w:rPr>
          <w:lang w:val="en-GB"/>
        </w:rPr>
        <w:t>(bacteria, fungi,</w:t>
      </w:r>
      <w:r>
        <w:rPr>
          <w:lang w:val="en-GB"/>
        </w:rPr>
        <w:t xml:space="preserve"> rotifera,</w:t>
      </w:r>
      <w:r w:rsidRPr="0035534D">
        <w:rPr>
          <w:lang w:val="en-GB"/>
        </w:rPr>
        <w:t xml:space="preserve"> nematod</w:t>
      </w:r>
      <w:r>
        <w:rPr>
          <w:lang w:val="en-GB"/>
        </w:rPr>
        <w:t>a, branchiopoda, siphonaptera, mesostigmata</w:t>
      </w:r>
      <w:r w:rsidRPr="0035534D">
        <w:rPr>
          <w:lang w:val="en-GB"/>
        </w:rPr>
        <w:t xml:space="preserve">). These orders most likely corresponded to </w:t>
      </w:r>
      <w:r>
        <w:rPr>
          <w:lang w:val="en-GB"/>
        </w:rPr>
        <w:t xml:space="preserve">environmental contaminations or </w:t>
      </w:r>
      <w:r w:rsidRPr="0035534D">
        <w:rPr>
          <w:lang w:val="en-GB"/>
        </w:rPr>
        <w:t xml:space="preserve">OTUs from bat or </w:t>
      </w:r>
      <w:r>
        <w:rPr>
          <w:lang w:val="en-GB"/>
        </w:rPr>
        <w:t>arthropod gut</w:t>
      </w:r>
      <w:r w:rsidRPr="0035534D">
        <w:rPr>
          <w:lang w:val="en-GB"/>
        </w:rPr>
        <w:t>. We also discarded OTUs</w:t>
      </w:r>
      <w:r>
        <w:rPr>
          <w:lang w:val="en-GB"/>
        </w:rPr>
        <w:t xml:space="preserve"> showing putative assignment problems, i.e.</w:t>
      </w:r>
      <w:r w:rsidRPr="0035534D">
        <w:rPr>
          <w:lang w:val="en-GB"/>
        </w:rPr>
        <w:t xml:space="preserve"> that were assigned to species or genus that are not expected in France and in Europe (according to the Fauna Europaea database </w:t>
      </w:r>
      <w:r w:rsidRPr="0035534D">
        <w:rPr>
          <w:lang w:val="en-GB"/>
        </w:rPr>
        <w:fldChar w:fldCharType="begin"/>
      </w:r>
      <w:r w:rsidRPr="0035534D">
        <w:rPr>
          <w:lang w:val="en-GB"/>
        </w:rPr>
        <w:instrText xml:space="preserve"> ADDIN ZOTERO_ITEM CSL_CITATION {"citationID":"EzMjGOm9","properties":{"formattedCitation":"(Jong et al., 2014)","plainCitation":"(Jong et al., 2014)","noteIndex":0},"citationItems":[{"id":28,"uris":["http://zotero.org/users/2865333/items/HLH5PZXK"],"uri":["http://zotero.org/users/2865333/items/HLH5PZXK"],"itemData":{"id":28,"type":"article-journal","title":"Fauna Europaea – all European animal species on the web","container-title":"Biodiversity Data Journal","page":"e4034","volume":"2","source":"bdj.pensoft.net","abstract":"Fauna Europaea is Europe's main zoological taxonomic index, making the scientific names and distributions of all living, currently known, multicellular, European land and freshwater animals species integrally available in one authoritative database. Fauna Europaea covers about 260,000 taxon names, including 145,000 accepted (sub)species, assembled by a large network of (&amp;gt;400) leading specialists, using advanced electronic tools for data collations with data quality assured through sophisticated validation routines. Fauna Europaea started in 2000 as an EC funded FP5 project and provides a unique taxonomic reference for many user-groups such as scientists, governments, industries, nature conservation communities and educational progra</w:instrText>
      </w:r>
      <w:r w:rsidRPr="00C25D04">
        <w:instrText>ms. Fauna Europaea was formally accepted as an INSPIRE standard for Europe, as part of the European Taxonomic Backbone established in PESI. Fauna Europaea provides a public web portal at faunaeur.org with links to other key biodiversity services, is installed as a taxonomic backbone in wide range of biodiversity services and actively contributes to biodiversity informatics innovations in various initiatives and EC programs.","DOI":"10.3897/BDJ.2.e4034","ISSN":"1314-2828","language":"en","author":[{"family":"Jong","given":"Yde","dropping-particle":"de"},{"family":"Verbeek","given":"Melina"},{"family":"Michelsen","given":"Verner"},{"family":"Bjørn","given":"Per de Place"},{"family":"Los","given":"Wouter"},{"family":"Steeman","given":"Fedor"},{"family":"Bailly","given":"Nicolas"},{"family":"Basire","given":"Claire"},{"family":"Chylarecki","given":"Przemek"},{"family":"Stloukal","given":"Eduard"},{"family":"Hagedorn","given":"Gregor"},{"family":"Wetzel","given":"Florian"},{"family":"Glöckler","given":"Falko"},{"family":"Kroupa","given":"Alexander"},{"family":"Korb","given":"Günther"},{"family":"Hoffmann","given":"Anke"},{"family":"Häuser","given":"Christoph"},{"family":"Kohlbecker","given":"Andreas"},{"family":"Müller","given":"Andreas"},{"family":"Günt</w:instrText>
      </w:r>
      <w:r w:rsidRPr="009627BA">
        <w:instrText>sch","given":"Anton"},{"family":"Stoev","given":"Pavel"},{"family":"Penev","given</w:instrText>
      </w:r>
      <w:r w:rsidRPr="00C9120F">
        <w:instrText xml:space="preserve">":"Lyubomir"}],"issued":{"date-parts":[["2014",9,17]]}}}],"schema":"https://github.com/citation-style-language/schema/raw/master/csl-citation.json"} </w:instrText>
      </w:r>
      <w:r w:rsidRPr="0035534D">
        <w:rPr>
          <w:lang w:val="en-GB"/>
        </w:rPr>
        <w:fldChar w:fldCharType="separate"/>
      </w:r>
      <w:r w:rsidRPr="00C9120F">
        <w:rPr>
          <w:rFonts w:ascii="Calibri" w:hAnsi="Calibri"/>
        </w:rPr>
        <w:t>(Jong et al., 2014)</w:t>
      </w:r>
      <w:r w:rsidRPr="0035534D">
        <w:rPr>
          <w:lang w:val="en-GB"/>
        </w:rPr>
        <w:fldChar w:fldCharType="end"/>
      </w:r>
      <w:r w:rsidRPr="00C9120F">
        <w:t xml:space="preserve"> and the </w:t>
      </w:r>
      <w:r w:rsidR="00C25D04">
        <w:t>« </w:t>
      </w:r>
      <w:r w:rsidRPr="00C9120F">
        <w:t>Inventaire National du patrimoine Naturel</w:t>
      </w:r>
      <w:r w:rsidR="00C25D04">
        <w:t> »</w:t>
      </w:r>
      <w:r w:rsidRPr="00C9120F">
        <w:t xml:space="preserve"> (INPN ; </w:t>
      </w:r>
      <w:r w:rsidRPr="0035534D">
        <w:rPr>
          <w:lang w:val="en-GB"/>
        </w:rPr>
        <w:fldChar w:fldCharType="begin"/>
      </w:r>
      <w:r w:rsidRPr="00C9120F">
        <w:instrText xml:space="preserve"> ADDIN ZOTERO_ITEM CSL_CITATION {"citationID":"ReDhVNnf","properties":{"formattedCitation":"(Mus\\uc0\\u233{}um national d\\uc0\\u8217{}Histoire naturelle [Ed], 2003)","plainCitation":"(Muséum national d’Histoire naturelle [Ed], 2003)","dontUpdate":true,"noteIndex":0},"citationItems":[{"id":26,"uris":["http://zotero.org/users/2865333/items/J7DKPFTL"],"uri":["http://zotero.org/users/2865333/items/J7DKPFTL"],"itemData":{"id":26,"type":"report","title":"Inventaire National du Patrimoine Naturel, Site web : https://inpn.mnhn.fr.","author":[{"family":"Muséum national d’Histoire naturelle [Ed]","given":""}],"issued":{"date-parts":[["2003"]],"season":"2019"}}}],"schema":"https://github.com/citation-style-language/schema/raw/master/csl-citation.json"} </w:instrText>
      </w:r>
      <w:r w:rsidRPr="0035534D">
        <w:rPr>
          <w:lang w:val="en-GB"/>
        </w:rPr>
        <w:fldChar w:fldCharType="separate"/>
      </w:r>
      <w:r w:rsidRPr="00AD61D4">
        <w:rPr>
          <w:rFonts w:ascii="Calibri" w:hAnsi="Calibri" w:cs="Times New Roman"/>
        </w:rPr>
        <w:t>Muséum national d’Histoire naturelle, 2003)</w:t>
      </w:r>
      <w:r w:rsidRPr="0035534D">
        <w:rPr>
          <w:lang w:val="en-GB"/>
        </w:rPr>
        <w:fldChar w:fldCharType="end"/>
      </w:r>
      <w:r w:rsidRPr="00AD61D4">
        <w:t>.</w:t>
      </w:r>
    </w:p>
    <w:p w14:paraId="06543E6D" w14:textId="77777777" w:rsidR="00990C1D" w:rsidRPr="0035534D" w:rsidRDefault="00990C1D" w:rsidP="00990C1D">
      <w:pPr>
        <w:pStyle w:val="Paragraphedeliste"/>
        <w:numPr>
          <w:ilvl w:val="0"/>
          <w:numId w:val="1"/>
        </w:numPr>
        <w:autoSpaceDE w:val="0"/>
        <w:autoSpaceDN w:val="0"/>
        <w:adjustRightInd w:val="0"/>
        <w:spacing w:line="480" w:lineRule="auto"/>
        <w:jc w:val="both"/>
        <w:rPr>
          <w:lang w:val="en-GB"/>
        </w:rPr>
      </w:pPr>
      <w:r w:rsidRPr="0035534D">
        <w:rPr>
          <w:lang w:val="en-GB"/>
        </w:rPr>
        <w:t xml:space="preserve">In case of pseudogene/chimera suspicion - very close species in the same sample with high differences in number of reads and slight differences in confidence criteria -, we only kept the species with the highest number of reads and the highest confidence criteria. </w:t>
      </w:r>
    </w:p>
    <w:p w14:paraId="68EB7D3D" w14:textId="77777777" w:rsidR="00990C1D" w:rsidRPr="0035534D" w:rsidRDefault="00990C1D" w:rsidP="00990C1D">
      <w:pPr>
        <w:pStyle w:val="Paragraphedeliste"/>
        <w:numPr>
          <w:ilvl w:val="0"/>
          <w:numId w:val="1"/>
        </w:numPr>
        <w:autoSpaceDE w:val="0"/>
        <w:autoSpaceDN w:val="0"/>
        <w:adjustRightInd w:val="0"/>
        <w:spacing w:line="480" w:lineRule="auto"/>
        <w:jc w:val="both"/>
        <w:rPr>
          <w:lang w:val="en-GB"/>
        </w:rPr>
      </w:pPr>
      <w:r w:rsidRPr="0035534D">
        <w:rPr>
          <w:lang w:val="en-GB"/>
        </w:rPr>
        <w:t>We manually checked every remaining OTUs in BOLD and GENBANK to identify errors (</w:t>
      </w:r>
      <w:r>
        <w:rPr>
          <w:lang w:val="en-GB"/>
        </w:rPr>
        <w:t xml:space="preserve">see </w:t>
      </w:r>
      <w:r w:rsidRPr="0015072D">
        <w:rPr>
          <w:lang w:val="en-GB"/>
        </w:rPr>
        <w:t>Table S6</w:t>
      </w:r>
      <w:r>
        <w:rPr>
          <w:lang w:val="en-GB"/>
        </w:rPr>
        <w:t xml:space="preserve"> for several examples</w:t>
      </w:r>
      <w:r w:rsidRPr="0035534D">
        <w:rPr>
          <w:lang w:val="en-GB"/>
        </w:rPr>
        <w:t xml:space="preserve">). Suspicious sequences were checked in the BioEdit software </w:t>
      </w:r>
      <w:r w:rsidRPr="0035534D">
        <w:rPr>
          <w:lang w:val="en-GB"/>
        </w:rPr>
        <w:fldChar w:fldCharType="begin"/>
      </w:r>
      <w:r w:rsidRPr="0035534D">
        <w:rPr>
          <w:lang w:val="en-GB"/>
        </w:rPr>
        <w:instrText xml:space="preserve"> ADDIN ZOTERO_ITEM CSL_CITATION {"citationID":"NNhKzBXw","properties":{"formattedCitation":"(Hall, 1999)","plainCitation":"(Hall, 1999)","noteIndex":0},"citationItems":[{"id":4392,"uris":["http://zotero.org/users/2865333/items/VKJHTBY7"],"uri":["http://zotero.org/users/2865333/items/VKJHTBY7"],"itemData":{"id":4392,"type":"article-journal","title":"BioEdit: a user-friendly biological sequence alignment editor and analysis program for Windows 95/98/NT.","container-title":"Nucleic acids symposium series","collection-title":"[London]: Information Retrieval Ltd., c1979-c2000.","page":"95-98","volume":"41","issue":"41","author":[{"family":"Hall","given":"T. A."}],"issued":{"date-parts":[["1999"]]}}}],"schema":"https://github.com/citation-style-language/schema/raw/master/csl-citation.json"} </w:instrText>
      </w:r>
      <w:r w:rsidRPr="0035534D">
        <w:rPr>
          <w:lang w:val="en-GB"/>
        </w:rPr>
        <w:fldChar w:fldCharType="separate"/>
      </w:r>
      <w:r w:rsidRPr="0035534D">
        <w:rPr>
          <w:rFonts w:ascii="Calibri" w:hAnsi="Calibri"/>
          <w:lang w:val="en-GB"/>
        </w:rPr>
        <w:t>(Hall, 1999)</w:t>
      </w:r>
      <w:r w:rsidRPr="0035534D">
        <w:rPr>
          <w:lang w:val="en-GB"/>
        </w:rPr>
        <w:fldChar w:fldCharType="end"/>
      </w:r>
      <w:r w:rsidRPr="0035534D">
        <w:rPr>
          <w:lang w:val="en-GB"/>
        </w:rPr>
        <w:t xml:space="preserve"> to detect potential remaining chimera.</w:t>
      </w:r>
    </w:p>
    <w:p w14:paraId="2D307C5B" w14:textId="77777777" w:rsidR="00990C1D" w:rsidRPr="0035534D" w:rsidRDefault="00990C1D" w:rsidP="00990C1D">
      <w:pPr>
        <w:pStyle w:val="Paragraphedeliste"/>
        <w:numPr>
          <w:ilvl w:val="0"/>
          <w:numId w:val="1"/>
        </w:numPr>
        <w:autoSpaceDE w:val="0"/>
        <w:autoSpaceDN w:val="0"/>
        <w:adjustRightInd w:val="0"/>
        <w:spacing w:line="480" w:lineRule="auto"/>
        <w:jc w:val="both"/>
        <w:rPr>
          <w:lang w:val="en-GB"/>
        </w:rPr>
      </w:pPr>
      <w:r w:rsidRPr="0035534D">
        <w:rPr>
          <w:lang w:val="en-GB"/>
        </w:rPr>
        <w:lastRenderedPageBreak/>
        <w:t>Finally, we clustered the arthropods that exhibited slight assignment differences within a given sample</w:t>
      </w:r>
      <w:r w:rsidRPr="0035534D" w:rsidDel="00001FB2">
        <w:rPr>
          <w:lang w:val="en-GB"/>
        </w:rPr>
        <w:t xml:space="preserve"> </w:t>
      </w:r>
      <w:r w:rsidRPr="0035534D">
        <w:rPr>
          <w:lang w:val="en-GB"/>
        </w:rPr>
        <w:t xml:space="preserve">when considering several primer sets. This clustering was done following three conditions: the arthropods shared a common </w:t>
      </w:r>
      <w:r>
        <w:rPr>
          <w:lang w:val="en-GB"/>
        </w:rPr>
        <w:t xml:space="preserve">family </w:t>
      </w:r>
      <w:r w:rsidRPr="0035534D">
        <w:rPr>
          <w:lang w:val="en-GB"/>
        </w:rPr>
        <w:t xml:space="preserve">assignment rank, had a high number of reads in the sample, and we observed the same pattern in several samples. We decided to apply this last step because of (i) differences in resolution levels between primer sets (short vs. long fragments) and gene (16S - COI), (ii) presence of species complex for which both genes were not resolutive (e.g. </w:t>
      </w:r>
      <w:r w:rsidRPr="0035534D">
        <w:rPr>
          <w:i/>
          <w:lang w:val="en-GB"/>
        </w:rPr>
        <w:t>Tipula sp.</w:t>
      </w:r>
      <w:r w:rsidRPr="0035534D">
        <w:rPr>
          <w:lang w:val="en-GB"/>
        </w:rPr>
        <w:t xml:space="preserve">), and (iii) potential biases in reference databases between genes (16S </w:t>
      </w:r>
      <w:r w:rsidRPr="0035534D">
        <w:rPr>
          <w:i/>
          <w:lang w:val="en-GB"/>
        </w:rPr>
        <w:t>vs</w:t>
      </w:r>
      <w:r w:rsidRPr="0035534D">
        <w:rPr>
          <w:lang w:val="en-GB"/>
        </w:rPr>
        <w:t xml:space="preserve"> COI) and between primer sets (at the beginning </w:t>
      </w:r>
      <w:r w:rsidRPr="0035534D">
        <w:rPr>
          <w:i/>
          <w:lang w:val="en-GB"/>
        </w:rPr>
        <w:t>vs</w:t>
      </w:r>
      <w:r w:rsidRPr="0035534D">
        <w:rPr>
          <w:lang w:val="en-GB"/>
        </w:rPr>
        <w:t xml:space="preserve"> at the end of the COI).</w:t>
      </w:r>
    </w:p>
    <w:p w14:paraId="381F77D1" w14:textId="77777777" w:rsidR="00040B72" w:rsidRPr="00990C1D" w:rsidRDefault="00040B72">
      <w:pPr>
        <w:rPr>
          <w:lang w:val="en-GB"/>
        </w:rPr>
      </w:pPr>
    </w:p>
    <w:sectPr w:rsidR="00040B72" w:rsidRPr="00990C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C14FA"/>
    <w:multiLevelType w:val="hybridMultilevel"/>
    <w:tmpl w:val="CA84C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C1D"/>
    <w:rsid w:val="0000600E"/>
    <w:rsid w:val="00006A43"/>
    <w:rsid w:val="0000763F"/>
    <w:rsid w:val="00022F65"/>
    <w:rsid w:val="00031ED6"/>
    <w:rsid w:val="000373A3"/>
    <w:rsid w:val="00040B72"/>
    <w:rsid w:val="000447C9"/>
    <w:rsid w:val="00050FEB"/>
    <w:rsid w:val="00055B3D"/>
    <w:rsid w:val="00063B1B"/>
    <w:rsid w:val="00074886"/>
    <w:rsid w:val="000904DB"/>
    <w:rsid w:val="00091639"/>
    <w:rsid w:val="000A1BA2"/>
    <w:rsid w:val="000A4909"/>
    <w:rsid w:val="000B314F"/>
    <w:rsid w:val="000B46D8"/>
    <w:rsid w:val="000D0437"/>
    <w:rsid w:val="000D7779"/>
    <w:rsid w:val="000D7CF2"/>
    <w:rsid w:val="00114183"/>
    <w:rsid w:val="00123654"/>
    <w:rsid w:val="00126AC7"/>
    <w:rsid w:val="001270D9"/>
    <w:rsid w:val="001413A1"/>
    <w:rsid w:val="001465F9"/>
    <w:rsid w:val="0015072D"/>
    <w:rsid w:val="0015227B"/>
    <w:rsid w:val="001727BD"/>
    <w:rsid w:val="00186BC4"/>
    <w:rsid w:val="00196E27"/>
    <w:rsid w:val="00197C53"/>
    <w:rsid w:val="001A3E0A"/>
    <w:rsid w:val="001A59EA"/>
    <w:rsid w:val="001A697F"/>
    <w:rsid w:val="001B3107"/>
    <w:rsid w:val="001C1DA8"/>
    <w:rsid w:val="001D6322"/>
    <w:rsid w:val="001E0687"/>
    <w:rsid w:val="001F0D0F"/>
    <w:rsid w:val="001F142A"/>
    <w:rsid w:val="001F351C"/>
    <w:rsid w:val="001F63DD"/>
    <w:rsid w:val="00224CA7"/>
    <w:rsid w:val="00232FDD"/>
    <w:rsid w:val="00241A3B"/>
    <w:rsid w:val="00242472"/>
    <w:rsid w:val="00254D3A"/>
    <w:rsid w:val="00262A6D"/>
    <w:rsid w:val="00271053"/>
    <w:rsid w:val="00273784"/>
    <w:rsid w:val="00274ED6"/>
    <w:rsid w:val="00276CFE"/>
    <w:rsid w:val="002777EC"/>
    <w:rsid w:val="00291727"/>
    <w:rsid w:val="002A557F"/>
    <w:rsid w:val="002B45D5"/>
    <w:rsid w:val="002B4EED"/>
    <w:rsid w:val="002C3E38"/>
    <w:rsid w:val="002C4812"/>
    <w:rsid w:val="002C62EF"/>
    <w:rsid w:val="002D5F59"/>
    <w:rsid w:val="002E6472"/>
    <w:rsid w:val="002F31F1"/>
    <w:rsid w:val="00312D2D"/>
    <w:rsid w:val="003404A8"/>
    <w:rsid w:val="00347CB5"/>
    <w:rsid w:val="00347E79"/>
    <w:rsid w:val="003632AC"/>
    <w:rsid w:val="003662CA"/>
    <w:rsid w:val="00366598"/>
    <w:rsid w:val="003776A3"/>
    <w:rsid w:val="00391C07"/>
    <w:rsid w:val="003B657C"/>
    <w:rsid w:val="003D5A90"/>
    <w:rsid w:val="003F2225"/>
    <w:rsid w:val="0040439E"/>
    <w:rsid w:val="00425F65"/>
    <w:rsid w:val="00430BA4"/>
    <w:rsid w:val="00444FD7"/>
    <w:rsid w:val="00456190"/>
    <w:rsid w:val="0046774D"/>
    <w:rsid w:val="0047700F"/>
    <w:rsid w:val="00487872"/>
    <w:rsid w:val="00491FBF"/>
    <w:rsid w:val="004B34C4"/>
    <w:rsid w:val="004C2E7F"/>
    <w:rsid w:val="004C4137"/>
    <w:rsid w:val="004E10D2"/>
    <w:rsid w:val="004E3C3C"/>
    <w:rsid w:val="0050290C"/>
    <w:rsid w:val="00542A83"/>
    <w:rsid w:val="0054667B"/>
    <w:rsid w:val="00555A9B"/>
    <w:rsid w:val="00585D0E"/>
    <w:rsid w:val="00586F4A"/>
    <w:rsid w:val="00592958"/>
    <w:rsid w:val="00594C39"/>
    <w:rsid w:val="005A30A2"/>
    <w:rsid w:val="005A46FE"/>
    <w:rsid w:val="005A5500"/>
    <w:rsid w:val="005C72C2"/>
    <w:rsid w:val="005D2D61"/>
    <w:rsid w:val="005E7A7D"/>
    <w:rsid w:val="005F2F9E"/>
    <w:rsid w:val="0060363A"/>
    <w:rsid w:val="006156AB"/>
    <w:rsid w:val="006225FA"/>
    <w:rsid w:val="00623638"/>
    <w:rsid w:val="0062437E"/>
    <w:rsid w:val="0064640A"/>
    <w:rsid w:val="0064703C"/>
    <w:rsid w:val="00663583"/>
    <w:rsid w:val="00673A06"/>
    <w:rsid w:val="00674348"/>
    <w:rsid w:val="006771C6"/>
    <w:rsid w:val="006A5821"/>
    <w:rsid w:val="006A66A0"/>
    <w:rsid w:val="006F6388"/>
    <w:rsid w:val="00707FEB"/>
    <w:rsid w:val="0071594F"/>
    <w:rsid w:val="007320CF"/>
    <w:rsid w:val="00735C43"/>
    <w:rsid w:val="00737C99"/>
    <w:rsid w:val="00746DFF"/>
    <w:rsid w:val="00750600"/>
    <w:rsid w:val="0075307D"/>
    <w:rsid w:val="007A7C39"/>
    <w:rsid w:val="007C3473"/>
    <w:rsid w:val="007D11F2"/>
    <w:rsid w:val="0080462E"/>
    <w:rsid w:val="00806BE1"/>
    <w:rsid w:val="00836AF2"/>
    <w:rsid w:val="00842C39"/>
    <w:rsid w:val="00861B24"/>
    <w:rsid w:val="00884605"/>
    <w:rsid w:val="008A2823"/>
    <w:rsid w:val="008A414B"/>
    <w:rsid w:val="008B33C9"/>
    <w:rsid w:val="008C41B2"/>
    <w:rsid w:val="008C65EC"/>
    <w:rsid w:val="008F22DB"/>
    <w:rsid w:val="00911360"/>
    <w:rsid w:val="00927840"/>
    <w:rsid w:val="009326AC"/>
    <w:rsid w:val="00933D4E"/>
    <w:rsid w:val="00942F48"/>
    <w:rsid w:val="00947607"/>
    <w:rsid w:val="00952BA4"/>
    <w:rsid w:val="00955519"/>
    <w:rsid w:val="00955D56"/>
    <w:rsid w:val="0096048F"/>
    <w:rsid w:val="0097162C"/>
    <w:rsid w:val="00980E19"/>
    <w:rsid w:val="00990C1D"/>
    <w:rsid w:val="009A5095"/>
    <w:rsid w:val="009A65F2"/>
    <w:rsid w:val="009B5783"/>
    <w:rsid w:val="009C516C"/>
    <w:rsid w:val="009D0BDA"/>
    <w:rsid w:val="009E277E"/>
    <w:rsid w:val="009E4E8E"/>
    <w:rsid w:val="009F07BF"/>
    <w:rsid w:val="009F335E"/>
    <w:rsid w:val="009F3B8D"/>
    <w:rsid w:val="009F5638"/>
    <w:rsid w:val="00A12B65"/>
    <w:rsid w:val="00A30526"/>
    <w:rsid w:val="00A47AA5"/>
    <w:rsid w:val="00A51D49"/>
    <w:rsid w:val="00A54FA7"/>
    <w:rsid w:val="00A57FDF"/>
    <w:rsid w:val="00A70CDF"/>
    <w:rsid w:val="00A830C8"/>
    <w:rsid w:val="00A951DD"/>
    <w:rsid w:val="00A95DBD"/>
    <w:rsid w:val="00AA456C"/>
    <w:rsid w:val="00AD7178"/>
    <w:rsid w:val="00AF35D3"/>
    <w:rsid w:val="00AF6CFB"/>
    <w:rsid w:val="00B044C7"/>
    <w:rsid w:val="00B04CF9"/>
    <w:rsid w:val="00B1694C"/>
    <w:rsid w:val="00B327C5"/>
    <w:rsid w:val="00B32DB6"/>
    <w:rsid w:val="00B360DF"/>
    <w:rsid w:val="00B429D9"/>
    <w:rsid w:val="00B44370"/>
    <w:rsid w:val="00B47D47"/>
    <w:rsid w:val="00B72495"/>
    <w:rsid w:val="00B93846"/>
    <w:rsid w:val="00BC757E"/>
    <w:rsid w:val="00BE3E3A"/>
    <w:rsid w:val="00C00B9D"/>
    <w:rsid w:val="00C14B8C"/>
    <w:rsid w:val="00C157F0"/>
    <w:rsid w:val="00C1680E"/>
    <w:rsid w:val="00C24A84"/>
    <w:rsid w:val="00C25D04"/>
    <w:rsid w:val="00C41B91"/>
    <w:rsid w:val="00C5318E"/>
    <w:rsid w:val="00C53245"/>
    <w:rsid w:val="00C620E6"/>
    <w:rsid w:val="00C626C2"/>
    <w:rsid w:val="00C704CE"/>
    <w:rsid w:val="00C75289"/>
    <w:rsid w:val="00C828B7"/>
    <w:rsid w:val="00C9423A"/>
    <w:rsid w:val="00CA1402"/>
    <w:rsid w:val="00CB036F"/>
    <w:rsid w:val="00CC2877"/>
    <w:rsid w:val="00CF1804"/>
    <w:rsid w:val="00CF41BF"/>
    <w:rsid w:val="00D317F5"/>
    <w:rsid w:val="00D367B1"/>
    <w:rsid w:val="00D42896"/>
    <w:rsid w:val="00D56C41"/>
    <w:rsid w:val="00D65EBC"/>
    <w:rsid w:val="00D70DFA"/>
    <w:rsid w:val="00D71A9E"/>
    <w:rsid w:val="00D77990"/>
    <w:rsid w:val="00D9192C"/>
    <w:rsid w:val="00DA3088"/>
    <w:rsid w:val="00DC3CCB"/>
    <w:rsid w:val="00DD014B"/>
    <w:rsid w:val="00DD20FD"/>
    <w:rsid w:val="00DD5E30"/>
    <w:rsid w:val="00DD659B"/>
    <w:rsid w:val="00DD7648"/>
    <w:rsid w:val="00DD786B"/>
    <w:rsid w:val="00DE34A0"/>
    <w:rsid w:val="00DE5C2F"/>
    <w:rsid w:val="00DF72CC"/>
    <w:rsid w:val="00E00256"/>
    <w:rsid w:val="00E05368"/>
    <w:rsid w:val="00E177C1"/>
    <w:rsid w:val="00E21DBC"/>
    <w:rsid w:val="00E33B96"/>
    <w:rsid w:val="00E47322"/>
    <w:rsid w:val="00E506EE"/>
    <w:rsid w:val="00E507A0"/>
    <w:rsid w:val="00E5081B"/>
    <w:rsid w:val="00E5590C"/>
    <w:rsid w:val="00E57E20"/>
    <w:rsid w:val="00E6414C"/>
    <w:rsid w:val="00E772B8"/>
    <w:rsid w:val="00E85B22"/>
    <w:rsid w:val="00EA693A"/>
    <w:rsid w:val="00EB62E1"/>
    <w:rsid w:val="00EC5DB8"/>
    <w:rsid w:val="00ED4361"/>
    <w:rsid w:val="00ED65F5"/>
    <w:rsid w:val="00EF5A3A"/>
    <w:rsid w:val="00F219AF"/>
    <w:rsid w:val="00F23BEF"/>
    <w:rsid w:val="00F249AE"/>
    <w:rsid w:val="00F27F73"/>
    <w:rsid w:val="00F31000"/>
    <w:rsid w:val="00F31FF0"/>
    <w:rsid w:val="00F42E3D"/>
    <w:rsid w:val="00F55164"/>
    <w:rsid w:val="00F702A9"/>
    <w:rsid w:val="00F745D8"/>
    <w:rsid w:val="00F82106"/>
    <w:rsid w:val="00FA15D8"/>
    <w:rsid w:val="00FB0F79"/>
    <w:rsid w:val="00FC244A"/>
    <w:rsid w:val="00FC448D"/>
    <w:rsid w:val="00FD47D3"/>
    <w:rsid w:val="00FD7047"/>
    <w:rsid w:val="00FF71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8C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1D"/>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0C1D"/>
    <w:pPr>
      <w:ind w:left="720"/>
      <w:contextualSpacing/>
    </w:pPr>
  </w:style>
  <w:style w:type="character" w:styleId="Marquedannotation">
    <w:name w:val="annotation reference"/>
    <w:basedOn w:val="Policepardfaut"/>
    <w:uiPriority w:val="99"/>
    <w:semiHidden/>
    <w:unhideWhenUsed/>
    <w:rsid w:val="00990C1D"/>
    <w:rPr>
      <w:sz w:val="16"/>
      <w:szCs w:val="16"/>
    </w:rPr>
  </w:style>
  <w:style w:type="paragraph" w:styleId="Commentaire">
    <w:name w:val="annotation text"/>
    <w:basedOn w:val="Normal"/>
    <w:link w:val="CommentaireCar"/>
    <w:uiPriority w:val="99"/>
    <w:semiHidden/>
    <w:unhideWhenUsed/>
    <w:rsid w:val="00990C1D"/>
    <w:rPr>
      <w:sz w:val="20"/>
      <w:szCs w:val="20"/>
    </w:rPr>
  </w:style>
  <w:style w:type="character" w:customStyle="1" w:styleId="CommentaireCar">
    <w:name w:val="Commentaire Car"/>
    <w:basedOn w:val="Policepardfaut"/>
    <w:link w:val="Commentaire"/>
    <w:uiPriority w:val="99"/>
    <w:semiHidden/>
    <w:rsid w:val="00990C1D"/>
    <w:rPr>
      <w:rFonts w:eastAsiaTheme="minorEastAsia"/>
      <w:sz w:val="20"/>
      <w:szCs w:val="20"/>
      <w:lang w:eastAsia="fr-FR"/>
    </w:rPr>
  </w:style>
  <w:style w:type="paragraph" w:styleId="Textedebulles">
    <w:name w:val="Balloon Text"/>
    <w:basedOn w:val="Normal"/>
    <w:link w:val="TextedebullesCar"/>
    <w:uiPriority w:val="99"/>
    <w:semiHidden/>
    <w:unhideWhenUsed/>
    <w:rsid w:val="00990C1D"/>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0C1D"/>
    <w:rPr>
      <w:rFonts w:ascii="Segoe UI" w:eastAsiaTheme="minorEastAsia" w:hAnsi="Segoe UI" w:cs="Segoe UI"/>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1D"/>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0C1D"/>
    <w:pPr>
      <w:ind w:left="720"/>
      <w:contextualSpacing/>
    </w:pPr>
  </w:style>
  <w:style w:type="character" w:styleId="Marquedannotation">
    <w:name w:val="annotation reference"/>
    <w:basedOn w:val="Policepardfaut"/>
    <w:uiPriority w:val="99"/>
    <w:semiHidden/>
    <w:unhideWhenUsed/>
    <w:rsid w:val="00990C1D"/>
    <w:rPr>
      <w:sz w:val="16"/>
      <w:szCs w:val="16"/>
    </w:rPr>
  </w:style>
  <w:style w:type="paragraph" w:styleId="Commentaire">
    <w:name w:val="annotation text"/>
    <w:basedOn w:val="Normal"/>
    <w:link w:val="CommentaireCar"/>
    <w:uiPriority w:val="99"/>
    <w:semiHidden/>
    <w:unhideWhenUsed/>
    <w:rsid w:val="00990C1D"/>
    <w:rPr>
      <w:sz w:val="20"/>
      <w:szCs w:val="20"/>
    </w:rPr>
  </w:style>
  <w:style w:type="character" w:customStyle="1" w:styleId="CommentaireCar">
    <w:name w:val="Commentaire Car"/>
    <w:basedOn w:val="Policepardfaut"/>
    <w:link w:val="Commentaire"/>
    <w:uiPriority w:val="99"/>
    <w:semiHidden/>
    <w:rsid w:val="00990C1D"/>
    <w:rPr>
      <w:rFonts w:eastAsiaTheme="minorEastAsia"/>
      <w:sz w:val="20"/>
      <w:szCs w:val="20"/>
      <w:lang w:eastAsia="fr-FR"/>
    </w:rPr>
  </w:style>
  <w:style w:type="paragraph" w:styleId="Textedebulles">
    <w:name w:val="Balloon Text"/>
    <w:basedOn w:val="Normal"/>
    <w:link w:val="TextedebullesCar"/>
    <w:uiPriority w:val="99"/>
    <w:semiHidden/>
    <w:unhideWhenUsed/>
    <w:rsid w:val="00990C1D"/>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0C1D"/>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1467</Words>
  <Characters>8072</Characters>
  <Application>Microsoft Macintosh Word</Application>
  <DocSecurity>0</DocSecurity>
  <Lines>67</Lines>
  <Paragraphs>19</Paragraphs>
  <ScaleCrop>false</ScaleCrop>
  <Company>Hewlett-Packard Company</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Orianne TOURNAYRE</dc:creator>
  <cp:keywords/>
  <dc:description/>
  <cp:lastModifiedBy>Maxime Galan</cp:lastModifiedBy>
  <cp:revision>8</cp:revision>
  <dcterms:created xsi:type="dcterms:W3CDTF">2019-07-30T13:24:00Z</dcterms:created>
  <dcterms:modified xsi:type="dcterms:W3CDTF">2020-03-19T12:44:00Z</dcterms:modified>
</cp:coreProperties>
</file>