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D6DC" w14:textId="77777777" w:rsidR="002B128C" w:rsidRPr="007C0833" w:rsidRDefault="0040077E" w:rsidP="0040077E">
      <w:pPr>
        <w:jc w:val="center"/>
        <w:rPr>
          <w:rFonts w:ascii="Times New Roman" w:hAnsi="Times New Roman" w:cs="Times New Roman"/>
          <w:b/>
          <w:lang w:val="en-AU"/>
        </w:rPr>
      </w:pPr>
      <w:r w:rsidRPr="007C0833">
        <w:rPr>
          <w:rFonts w:ascii="Times New Roman" w:hAnsi="Times New Roman" w:cs="Times New Roman"/>
          <w:b/>
          <w:lang w:val="en-AU"/>
        </w:rPr>
        <w:t>Supplemental table</w:t>
      </w:r>
    </w:p>
    <w:p w14:paraId="59DD84AC" w14:textId="77777777" w:rsidR="0040077E" w:rsidRDefault="0040077E" w:rsidP="0040077E">
      <w:pPr>
        <w:rPr>
          <w:rFonts w:ascii="Times New Roman" w:hAnsi="Times New Roman" w:cs="Times New Roman"/>
          <w:b/>
        </w:rPr>
      </w:pPr>
    </w:p>
    <w:p w14:paraId="223790A7" w14:textId="77777777" w:rsidR="0040077E" w:rsidRPr="0040077E" w:rsidRDefault="0040077E" w:rsidP="0040077E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GridLight1"/>
        <w:tblpPr w:leftFromText="141" w:rightFromText="141" w:vertAnchor="text" w:horzAnchor="page" w:tblpX="925" w:tblpY="-535"/>
        <w:tblW w:w="14060" w:type="dxa"/>
        <w:tblLook w:val="0420" w:firstRow="1" w:lastRow="0" w:firstColumn="0" w:lastColumn="0" w:noHBand="0" w:noVBand="1"/>
      </w:tblPr>
      <w:tblGrid>
        <w:gridCol w:w="1695"/>
        <w:gridCol w:w="851"/>
        <w:gridCol w:w="1702"/>
        <w:gridCol w:w="1871"/>
        <w:gridCol w:w="1134"/>
        <w:gridCol w:w="1134"/>
        <w:gridCol w:w="1701"/>
        <w:gridCol w:w="1701"/>
        <w:gridCol w:w="1134"/>
        <w:gridCol w:w="967"/>
        <w:gridCol w:w="170"/>
      </w:tblGrid>
      <w:tr w:rsidR="0040077E" w:rsidRPr="00B23FD9" w14:paraId="696C0466" w14:textId="77777777" w:rsidTr="00EC0624">
        <w:trPr>
          <w:trHeight w:val="584"/>
        </w:trPr>
        <w:tc>
          <w:tcPr>
            <w:tcW w:w="14060" w:type="dxa"/>
            <w:gridSpan w:val="11"/>
          </w:tcPr>
          <w:p w14:paraId="48B52C29" w14:textId="04493B8D" w:rsidR="0040077E" w:rsidRPr="00602ECD" w:rsidRDefault="0040077E" w:rsidP="00194E3B">
            <w:pPr>
              <w:spacing w:before="240" w:line="480" w:lineRule="auto"/>
              <w:rPr>
                <w:bCs/>
                <w:lang w:val="en-AU"/>
              </w:rPr>
            </w:pPr>
            <w:bookmarkStart w:id="0" w:name="_GoBack"/>
            <w:r w:rsidRPr="00602ECD">
              <w:rPr>
                <w:bCs/>
                <w:lang w:val="en-AU"/>
              </w:rPr>
              <w:lastRenderedPageBreak/>
              <w:t xml:space="preserve">Table </w:t>
            </w:r>
            <w:r w:rsidR="007C0833">
              <w:rPr>
                <w:bCs/>
                <w:lang w:val="en-AU"/>
              </w:rPr>
              <w:t>e1</w:t>
            </w:r>
            <w:r w:rsidRPr="00602ECD">
              <w:rPr>
                <w:bCs/>
                <w:lang w:val="en-AU"/>
              </w:rPr>
              <w:t xml:space="preserve">. Differences in  CSF Tau and pTau </w:t>
            </w:r>
            <w:r w:rsidRPr="00400032">
              <w:rPr>
                <w:bCs/>
                <w:lang w:val="en-AU"/>
              </w:rPr>
              <w:t>concentrations</w:t>
            </w:r>
            <w:r w:rsidRPr="00400032">
              <w:rPr>
                <w:i/>
                <w:lang w:val="en-US"/>
              </w:rPr>
              <w:t xml:space="preserve"> </w:t>
            </w:r>
            <w:r w:rsidRPr="00400032">
              <w:rPr>
                <w:bCs/>
                <w:lang w:val="en-AU"/>
              </w:rPr>
              <w:t>in men compared to women</w:t>
            </w:r>
            <w:r w:rsidRPr="00400032">
              <w:rPr>
                <w:i/>
                <w:lang w:val="en-US"/>
              </w:rPr>
              <w:t xml:space="preserve"> </w:t>
            </w:r>
            <w:r w:rsidRPr="00400032">
              <w:rPr>
                <w:bCs/>
                <w:lang w:val="en-AU"/>
              </w:rPr>
              <w:t>stratified</w:t>
            </w:r>
            <w:r w:rsidRPr="00602ECD">
              <w:rPr>
                <w:bCs/>
                <w:lang w:val="en-AU"/>
              </w:rPr>
              <w:t xml:space="preserve"> per</w:t>
            </w:r>
            <w:r w:rsidR="00194E3B">
              <w:rPr>
                <w:bCs/>
                <w:lang w:val="en-AU"/>
              </w:rPr>
              <w:t xml:space="preserve"> clinical diagnosis and APOE e4 genotype. </w:t>
            </w:r>
            <w:bookmarkEnd w:id="0"/>
          </w:p>
        </w:tc>
      </w:tr>
      <w:tr w:rsidR="0040077E" w:rsidRPr="001427EE" w14:paraId="4FEFEC86" w14:textId="77777777" w:rsidTr="00EC0624">
        <w:trPr>
          <w:trHeight w:val="584"/>
        </w:trPr>
        <w:tc>
          <w:tcPr>
            <w:tcW w:w="2546" w:type="dxa"/>
            <w:gridSpan w:val="2"/>
            <w:hideMark/>
          </w:tcPr>
          <w:p w14:paraId="6FF19F48" w14:textId="77777777" w:rsidR="0040077E" w:rsidRPr="00602ECD" w:rsidRDefault="0040077E" w:rsidP="00CC6974">
            <w:pPr>
              <w:pBdr>
                <w:left w:val="single" w:sz="4" w:space="1" w:color="BFBFBF" w:themeColor="background1" w:themeShade="BF"/>
              </w:pBdr>
              <w:spacing w:line="480" w:lineRule="auto"/>
              <w:rPr>
                <w:bCs/>
                <w:lang w:val="en-AU"/>
              </w:rPr>
            </w:pPr>
          </w:p>
        </w:tc>
        <w:tc>
          <w:tcPr>
            <w:tcW w:w="5841" w:type="dxa"/>
            <w:gridSpan w:val="4"/>
            <w:hideMark/>
          </w:tcPr>
          <w:p w14:paraId="23789261" w14:textId="77777777" w:rsidR="0040077E" w:rsidRDefault="0040077E" w:rsidP="00CC697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bCs/>
                <w:lang w:val="en-AU"/>
              </w:rPr>
              <w:t>Tau</w:t>
            </w:r>
          </w:p>
        </w:tc>
        <w:tc>
          <w:tcPr>
            <w:tcW w:w="5673" w:type="dxa"/>
            <w:gridSpan w:val="5"/>
            <w:hideMark/>
          </w:tcPr>
          <w:p w14:paraId="63946B94" w14:textId="77777777" w:rsidR="0040077E" w:rsidRDefault="0040077E" w:rsidP="00CC697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pTau</w:t>
            </w:r>
          </w:p>
        </w:tc>
      </w:tr>
      <w:tr w:rsidR="0040077E" w:rsidRPr="003462A8" w14:paraId="7D57C3C7" w14:textId="77777777" w:rsidTr="00EC0624">
        <w:trPr>
          <w:trHeight w:val="584"/>
        </w:trPr>
        <w:tc>
          <w:tcPr>
            <w:tcW w:w="2546" w:type="dxa"/>
            <w:gridSpan w:val="2"/>
            <w:hideMark/>
          </w:tcPr>
          <w:p w14:paraId="4251AFC4" w14:textId="77777777" w:rsidR="0040077E" w:rsidRPr="00602ECD" w:rsidRDefault="0040077E" w:rsidP="00CC6974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1702" w:type="dxa"/>
            <w:hideMark/>
          </w:tcPr>
          <w:p w14:paraId="52D0B8EF" w14:textId="77777777" w:rsidR="0040077E" w:rsidRPr="00602ECD" w:rsidRDefault="0040077E" w:rsidP="00CC6974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lang w:val="en-AU"/>
              </w:rPr>
              <w:t xml:space="preserve">Adjusted mean difference </w:t>
            </w:r>
            <m:oMath>
              <m:r>
                <w:rPr>
                  <w:rFonts w:ascii="Cambria Math" w:hAnsi="Cambria Math"/>
                  <w:lang w:val="en-AU"/>
                </w:rPr>
                <m:t>β</m:t>
              </m:r>
            </m:oMath>
            <w:r w:rsidRPr="00602ECD">
              <w:rPr>
                <w:bCs/>
                <w:lang w:val="en-AU"/>
              </w:rPr>
              <w:t>(se)</w:t>
            </w:r>
            <w:r w:rsidRPr="00602ECD">
              <w:rPr>
                <w:bCs/>
                <w:vertAlign w:val="superscript"/>
                <w:lang w:val="en-AU"/>
              </w:rPr>
              <w:t>a</w:t>
            </w:r>
          </w:p>
        </w:tc>
        <w:tc>
          <w:tcPr>
            <w:tcW w:w="1871" w:type="dxa"/>
            <w:hideMark/>
          </w:tcPr>
          <w:p w14:paraId="2C5394A6" w14:textId="77777777" w:rsidR="0040077E" w:rsidRPr="00602ECD" w:rsidRDefault="0040077E" w:rsidP="00CC6974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Effect size (95%CI)</w:t>
            </w:r>
          </w:p>
        </w:tc>
        <w:tc>
          <w:tcPr>
            <w:tcW w:w="1134" w:type="dxa"/>
          </w:tcPr>
          <w:p w14:paraId="1D7A6665" w14:textId="77777777" w:rsidR="0040077E" w:rsidRPr="00602ECD" w:rsidRDefault="0040077E" w:rsidP="00CC6974">
            <w:pPr>
              <w:spacing w:before="240"/>
              <w:jc w:val="center"/>
              <w:rPr>
                <w:lang w:val="en-AU"/>
              </w:rPr>
            </w:pPr>
            <w:r w:rsidRPr="006C6A03"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  <w:tc>
          <w:tcPr>
            <w:tcW w:w="1134" w:type="dxa"/>
          </w:tcPr>
          <w:p w14:paraId="7BB6EC1B" w14:textId="77777777" w:rsidR="0040077E" w:rsidRDefault="0040077E" w:rsidP="00CC6974">
            <w:pPr>
              <w:spacing w:before="240"/>
              <w:jc w:val="center"/>
              <w:rPr>
                <w:lang w:val="en-AU"/>
              </w:rPr>
            </w:pPr>
            <w:r>
              <w:rPr>
                <w:lang w:val="en-AU"/>
              </w:rPr>
              <w:t>Adjusted</w:t>
            </w:r>
          </w:p>
          <w:p w14:paraId="338CC996" w14:textId="77777777" w:rsidR="0040077E" w:rsidRPr="00602ECD" w:rsidRDefault="0040077E" w:rsidP="00CC6974">
            <w:pPr>
              <w:spacing w:before="240"/>
              <w:jc w:val="center"/>
              <w:rPr>
                <w:lang w:val="en-AU"/>
              </w:rPr>
            </w:pPr>
            <w:r w:rsidRPr="00283609"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  <w:tc>
          <w:tcPr>
            <w:tcW w:w="1701" w:type="dxa"/>
            <w:hideMark/>
          </w:tcPr>
          <w:p w14:paraId="3B1E4A0C" w14:textId="77777777" w:rsidR="0040077E" w:rsidRPr="00602ECD" w:rsidRDefault="0040077E" w:rsidP="00CC6974">
            <w:pPr>
              <w:spacing w:before="240"/>
              <w:jc w:val="center"/>
              <w:rPr>
                <w:lang w:val="en-US"/>
              </w:rPr>
            </w:pPr>
            <w:r w:rsidRPr="00602ECD">
              <w:rPr>
                <w:lang w:val="en-AU"/>
              </w:rPr>
              <w:t xml:space="preserve">Adjusted mean difference </w:t>
            </w:r>
            <m:oMath>
              <m:r>
                <w:rPr>
                  <w:rFonts w:ascii="Cambria Math" w:hAnsi="Cambria Math"/>
                  <w:lang w:val="en-AU"/>
                </w:rPr>
                <m:t>β</m:t>
              </m:r>
            </m:oMath>
            <w:r w:rsidRPr="00602ECD">
              <w:rPr>
                <w:bCs/>
                <w:lang w:val="en-AU"/>
              </w:rPr>
              <w:t>(se)</w:t>
            </w:r>
            <w:r w:rsidRPr="00602ECD">
              <w:rPr>
                <w:bCs/>
                <w:vertAlign w:val="superscript"/>
                <w:lang w:val="en-AU"/>
              </w:rPr>
              <w:t>a</w:t>
            </w:r>
          </w:p>
        </w:tc>
        <w:tc>
          <w:tcPr>
            <w:tcW w:w="1701" w:type="dxa"/>
            <w:hideMark/>
          </w:tcPr>
          <w:p w14:paraId="140B7DF0" w14:textId="77777777" w:rsidR="0040077E" w:rsidRPr="00602ECD" w:rsidRDefault="0040077E" w:rsidP="00CC6974">
            <w:pPr>
              <w:spacing w:before="240"/>
              <w:jc w:val="center"/>
              <w:rPr>
                <w:lang w:val="en-US"/>
              </w:rPr>
            </w:pPr>
            <w:r>
              <w:rPr>
                <w:bCs/>
                <w:lang w:val="en-AU"/>
              </w:rPr>
              <w:t>Effect size (95%CI)</w:t>
            </w:r>
          </w:p>
        </w:tc>
        <w:tc>
          <w:tcPr>
            <w:tcW w:w="1134" w:type="dxa"/>
          </w:tcPr>
          <w:p w14:paraId="17EB0FEB" w14:textId="77777777" w:rsidR="0040077E" w:rsidRDefault="0040077E" w:rsidP="00CC6974">
            <w:pPr>
              <w:spacing w:before="240"/>
              <w:jc w:val="center"/>
              <w:rPr>
                <w:bCs/>
                <w:lang w:val="en-AU"/>
              </w:rPr>
            </w:pPr>
            <w:r w:rsidRPr="00283609"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  <w:tc>
          <w:tcPr>
            <w:tcW w:w="1137" w:type="dxa"/>
            <w:gridSpan w:val="2"/>
          </w:tcPr>
          <w:p w14:paraId="2FCE78E6" w14:textId="77777777" w:rsidR="0040077E" w:rsidRDefault="0040077E" w:rsidP="00CC6974">
            <w:pPr>
              <w:spacing w:before="240"/>
              <w:jc w:val="center"/>
              <w:rPr>
                <w:lang w:val="en-AU"/>
              </w:rPr>
            </w:pPr>
            <w:r>
              <w:rPr>
                <w:lang w:val="en-AU"/>
              </w:rPr>
              <w:t>Adjusted</w:t>
            </w:r>
          </w:p>
          <w:p w14:paraId="1F00D0D2" w14:textId="77777777" w:rsidR="0040077E" w:rsidRDefault="0040077E" w:rsidP="00CC6974">
            <w:pPr>
              <w:spacing w:before="240"/>
              <w:jc w:val="center"/>
              <w:rPr>
                <w:bCs/>
                <w:lang w:val="en-AU"/>
              </w:rPr>
            </w:pPr>
            <w:r w:rsidRPr="00283609"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</w:tr>
      <w:tr w:rsidR="00226D92" w:rsidRPr="003462A8" w14:paraId="45BF8357" w14:textId="77777777" w:rsidTr="00EC0624">
        <w:trPr>
          <w:trHeight w:val="584"/>
        </w:trPr>
        <w:tc>
          <w:tcPr>
            <w:tcW w:w="1695" w:type="dxa"/>
            <w:hideMark/>
          </w:tcPr>
          <w:p w14:paraId="2AFEB20A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APOE e2</w:t>
            </w:r>
            <w:r w:rsidRPr="00602ECD">
              <w:rPr>
                <w:bCs/>
                <w:lang w:val="en-AU"/>
              </w:rPr>
              <w:t xml:space="preserve"> carrier</w:t>
            </w:r>
          </w:p>
        </w:tc>
        <w:tc>
          <w:tcPr>
            <w:tcW w:w="851" w:type="dxa"/>
            <w:hideMark/>
          </w:tcPr>
          <w:p w14:paraId="0800F025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>SCD</w:t>
            </w:r>
          </w:p>
        </w:tc>
        <w:tc>
          <w:tcPr>
            <w:tcW w:w="1702" w:type="dxa"/>
          </w:tcPr>
          <w:p w14:paraId="27096BFF" w14:textId="77777777" w:rsidR="00226D92" w:rsidRPr="00602ECD" w:rsidRDefault="000829DB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0.12 (0.13)</w:t>
            </w:r>
          </w:p>
        </w:tc>
        <w:tc>
          <w:tcPr>
            <w:tcW w:w="1871" w:type="dxa"/>
          </w:tcPr>
          <w:p w14:paraId="2F80E417" w14:textId="77777777" w:rsidR="00226D92" w:rsidRPr="00602ECD" w:rsidRDefault="003B4AB5" w:rsidP="003B4AB5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-0.16 (-0.77-  -0.45)</w:t>
            </w:r>
          </w:p>
        </w:tc>
        <w:tc>
          <w:tcPr>
            <w:tcW w:w="1134" w:type="dxa"/>
          </w:tcPr>
          <w:p w14:paraId="7EBB00A5" w14:textId="77777777" w:rsidR="00226D92" w:rsidRPr="00321454" w:rsidRDefault="000829DB" w:rsidP="00226D92">
            <w:pPr>
              <w:spacing w:before="240"/>
              <w:jc w:val="center"/>
            </w:pPr>
            <w:r>
              <w:t>0.38</w:t>
            </w:r>
          </w:p>
        </w:tc>
        <w:tc>
          <w:tcPr>
            <w:tcW w:w="1134" w:type="dxa"/>
          </w:tcPr>
          <w:p w14:paraId="6714C648" w14:textId="77777777" w:rsidR="00226D92" w:rsidRPr="00321454" w:rsidRDefault="000829DB" w:rsidP="00226D92">
            <w:pPr>
              <w:spacing w:before="240"/>
              <w:jc w:val="center"/>
            </w:pPr>
            <w:r>
              <w:t>&gt;0.05</w:t>
            </w:r>
          </w:p>
        </w:tc>
        <w:tc>
          <w:tcPr>
            <w:tcW w:w="1701" w:type="dxa"/>
          </w:tcPr>
          <w:p w14:paraId="23079A3D" w14:textId="77777777" w:rsidR="00226D92" w:rsidRPr="00602ECD" w:rsidRDefault="00226D92" w:rsidP="00EA59CE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0.11</w:t>
            </w:r>
            <w:r w:rsidR="00EA59CE">
              <w:rPr>
                <w:bCs/>
                <w:lang w:val="en-AU"/>
              </w:rPr>
              <w:t xml:space="preserve"> (0.11)</w:t>
            </w:r>
          </w:p>
        </w:tc>
        <w:tc>
          <w:tcPr>
            <w:tcW w:w="1701" w:type="dxa"/>
          </w:tcPr>
          <w:p w14:paraId="75B4E714" w14:textId="4DFC83AB" w:rsidR="00226D92" w:rsidRPr="00602ECD" w:rsidRDefault="0022015B" w:rsidP="001C4DE9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-0.20 (-0.83-0.43)</w:t>
            </w:r>
          </w:p>
        </w:tc>
        <w:tc>
          <w:tcPr>
            <w:tcW w:w="1134" w:type="dxa"/>
          </w:tcPr>
          <w:p w14:paraId="3811F110" w14:textId="77777777" w:rsidR="00226D92" w:rsidRPr="00321454" w:rsidRDefault="00226D92" w:rsidP="00226D92">
            <w:pPr>
              <w:spacing w:before="240"/>
              <w:jc w:val="center"/>
            </w:pPr>
            <w:r>
              <w:t>0.31</w:t>
            </w:r>
          </w:p>
        </w:tc>
        <w:tc>
          <w:tcPr>
            <w:tcW w:w="1137" w:type="dxa"/>
            <w:gridSpan w:val="2"/>
          </w:tcPr>
          <w:p w14:paraId="2359C3F6" w14:textId="77777777" w:rsidR="00226D92" w:rsidRPr="00321454" w:rsidRDefault="000829DB" w:rsidP="00226D92">
            <w:pPr>
              <w:spacing w:before="240"/>
              <w:jc w:val="center"/>
            </w:pPr>
            <w:r>
              <w:t>&gt;0.05</w:t>
            </w:r>
          </w:p>
        </w:tc>
      </w:tr>
      <w:tr w:rsidR="00226D92" w:rsidRPr="00BB5365" w14:paraId="383290E1" w14:textId="77777777" w:rsidTr="00EC0624">
        <w:trPr>
          <w:trHeight w:val="584"/>
        </w:trPr>
        <w:tc>
          <w:tcPr>
            <w:tcW w:w="1695" w:type="dxa"/>
            <w:hideMark/>
          </w:tcPr>
          <w:p w14:paraId="5F1E8BAD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851" w:type="dxa"/>
            <w:hideMark/>
          </w:tcPr>
          <w:p w14:paraId="31E15B58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>MCI</w:t>
            </w:r>
          </w:p>
        </w:tc>
        <w:tc>
          <w:tcPr>
            <w:tcW w:w="1702" w:type="dxa"/>
          </w:tcPr>
          <w:p w14:paraId="2D79FD3C" w14:textId="77777777" w:rsidR="00226D92" w:rsidRPr="00602ECD" w:rsidRDefault="000829DB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-0.31 (0.20)</w:t>
            </w:r>
          </w:p>
        </w:tc>
        <w:tc>
          <w:tcPr>
            <w:tcW w:w="1871" w:type="dxa"/>
            <w:tcBorders>
              <w:bottom w:val="single" w:sz="4" w:space="0" w:color="BFBFBF" w:themeColor="background1" w:themeShade="BF"/>
            </w:tcBorders>
          </w:tcPr>
          <w:p w14:paraId="3BF4BE77" w14:textId="77777777" w:rsidR="00226D92" w:rsidRPr="00602ECD" w:rsidRDefault="003B4AB5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0.60 (-0.14-1.34)</w:t>
            </w:r>
          </w:p>
        </w:tc>
        <w:tc>
          <w:tcPr>
            <w:tcW w:w="1134" w:type="dxa"/>
          </w:tcPr>
          <w:p w14:paraId="373BA2A3" w14:textId="77777777" w:rsidR="00226D92" w:rsidRPr="00321454" w:rsidRDefault="000829DB" w:rsidP="00226D92">
            <w:pPr>
              <w:spacing w:before="240"/>
              <w:jc w:val="center"/>
            </w:pPr>
            <w:r>
              <w:t>0.11</w:t>
            </w:r>
          </w:p>
        </w:tc>
        <w:tc>
          <w:tcPr>
            <w:tcW w:w="1134" w:type="dxa"/>
          </w:tcPr>
          <w:p w14:paraId="05DB2507" w14:textId="77777777" w:rsidR="00226D92" w:rsidRPr="00321454" w:rsidRDefault="000829DB" w:rsidP="00226D92">
            <w:pPr>
              <w:spacing w:before="240"/>
              <w:jc w:val="center"/>
            </w:pPr>
            <w:r>
              <w:t>&gt;0.05</w:t>
            </w:r>
          </w:p>
        </w:tc>
        <w:tc>
          <w:tcPr>
            <w:tcW w:w="1701" w:type="dxa"/>
          </w:tcPr>
          <w:p w14:paraId="432840E7" w14:textId="77777777" w:rsidR="00226D92" w:rsidRPr="00602ECD" w:rsidRDefault="00EA59CE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</w:t>
            </w:r>
            <w:r w:rsidR="00226D92">
              <w:rPr>
                <w:bCs/>
                <w:lang w:val="en-AU"/>
              </w:rPr>
              <w:t>0.37 (0.16)</w:t>
            </w:r>
          </w:p>
        </w:tc>
        <w:tc>
          <w:tcPr>
            <w:tcW w:w="1701" w:type="dxa"/>
          </w:tcPr>
          <w:p w14:paraId="7A4EC311" w14:textId="584DF1F7" w:rsidR="00226D92" w:rsidRPr="00602ECD" w:rsidRDefault="001C4DE9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0.78 (0.03-1.54)</w:t>
            </w:r>
          </w:p>
        </w:tc>
        <w:tc>
          <w:tcPr>
            <w:tcW w:w="1134" w:type="dxa"/>
          </w:tcPr>
          <w:p w14:paraId="3A9E6B9F" w14:textId="77777777" w:rsidR="00226D92" w:rsidRPr="00321454" w:rsidRDefault="00226D92" w:rsidP="00226D92">
            <w:pPr>
              <w:spacing w:before="240"/>
              <w:jc w:val="center"/>
            </w:pPr>
            <w:r>
              <w:t>0.02</w:t>
            </w:r>
          </w:p>
        </w:tc>
        <w:tc>
          <w:tcPr>
            <w:tcW w:w="1137" w:type="dxa"/>
            <w:gridSpan w:val="2"/>
          </w:tcPr>
          <w:p w14:paraId="6A9383C2" w14:textId="77777777" w:rsidR="00226D92" w:rsidRPr="00321454" w:rsidRDefault="00F06887" w:rsidP="00226D92">
            <w:pPr>
              <w:spacing w:before="240"/>
              <w:jc w:val="center"/>
            </w:pPr>
            <w:r>
              <w:t>0.36</w:t>
            </w:r>
          </w:p>
        </w:tc>
      </w:tr>
      <w:tr w:rsidR="00226D92" w:rsidRPr="00BB5365" w14:paraId="03D97E81" w14:textId="77777777" w:rsidTr="00EC0624">
        <w:trPr>
          <w:trHeight w:val="584"/>
        </w:trPr>
        <w:tc>
          <w:tcPr>
            <w:tcW w:w="1695" w:type="dxa"/>
            <w:tcBorders>
              <w:bottom w:val="double" w:sz="4" w:space="0" w:color="auto"/>
            </w:tcBorders>
            <w:hideMark/>
          </w:tcPr>
          <w:p w14:paraId="06ECD4B2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hideMark/>
          </w:tcPr>
          <w:p w14:paraId="46A852AE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 xml:space="preserve">AD </w:t>
            </w:r>
          </w:p>
        </w:tc>
        <w:tc>
          <w:tcPr>
            <w:tcW w:w="1702" w:type="dxa"/>
            <w:tcBorders>
              <w:bottom w:val="double" w:sz="4" w:space="0" w:color="auto"/>
              <w:right w:val="single" w:sz="4" w:space="0" w:color="BFBFBF" w:themeColor="background1" w:themeShade="BF"/>
            </w:tcBorders>
          </w:tcPr>
          <w:p w14:paraId="4278C8E2" w14:textId="77777777" w:rsidR="00226D92" w:rsidRPr="00602ECD" w:rsidRDefault="000829DB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-0.25 (0.19)</w:t>
            </w:r>
          </w:p>
        </w:tc>
        <w:tc>
          <w:tcPr>
            <w:tcW w:w="1871" w:type="dxa"/>
            <w:tcBorders>
              <w:left w:val="single" w:sz="4" w:space="0" w:color="BFBFBF" w:themeColor="background1" w:themeShade="BF"/>
              <w:bottom w:val="double" w:sz="4" w:space="0" w:color="auto"/>
            </w:tcBorders>
          </w:tcPr>
          <w:p w14:paraId="2EBF609E" w14:textId="77777777" w:rsidR="00226D92" w:rsidRPr="00602ECD" w:rsidRDefault="003502B5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0.53 (0.19-1.24)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EEA510E" w14:textId="77777777" w:rsidR="00226D92" w:rsidRPr="00321454" w:rsidRDefault="000829DB" w:rsidP="00226D92">
            <w:pPr>
              <w:spacing w:before="240"/>
              <w:jc w:val="center"/>
            </w:pPr>
            <w:r>
              <w:t>0.20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E34871C" w14:textId="77777777" w:rsidR="00226D92" w:rsidRPr="00321454" w:rsidRDefault="000829DB" w:rsidP="00226D92">
            <w:pPr>
              <w:spacing w:before="240"/>
              <w:jc w:val="center"/>
            </w:pPr>
            <w:r>
              <w:t>&gt;0.05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303548" w14:textId="77777777" w:rsidR="00226D92" w:rsidRPr="00602ECD" w:rsidRDefault="00EA59CE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</w:t>
            </w:r>
            <w:r w:rsidR="00226D92">
              <w:rPr>
                <w:bCs/>
                <w:lang w:val="en-AU"/>
              </w:rPr>
              <w:t>0.15 (0.15)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78EB98" w14:textId="110695B2" w:rsidR="00226D92" w:rsidRPr="00602ECD" w:rsidRDefault="001C4DE9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0.37 (-0.33-1.08)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DF2D0ED" w14:textId="77777777" w:rsidR="00226D92" w:rsidRPr="00321454" w:rsidRDefault="00226D92" w:rsidP="00226D92">
            <w:pPr>
              <w:spacing w:before="240"/>
              <w:jc w:val="center"/>
            </w:pPr>
            <w:r>
              <w:t>0.31</w:t>
            </w:r>
          </w:p>
        </w:tc>
        <w:tc>
          <w:tcPr>
            <w:tcW w:w="1137" w:type="dxa"/>
            <w:gridSpan w:val="2"/>
            <w:tcBorders>
              <w:bottom w:val="double" w:sz="4" w:space="0" w:color="auto"/>
            </w:tcBorders>
          </w:tcPr>
          <w:p w14:paraId="67460277" w14:textId="77777777" w:rsidR="00226D92" w:rsidRPr="00321454" w:rsidRDefault="00F06887" w:rsidP="00226D92">
            <w:pPr>
              <w:keepNext/>
              <w:spacing w:before="240"/>
              <w:jc w:val="center"/>
            </w:pPr>
            <w:r>
              <w:t>&gt;0.05</w:t>
            </w:r>
          </w:p>
        </w:tc>
      </w:tr>
      <w:tr w:rsidR="00226D92" w:rsidRPr="00BB5365" w14:paraId="1790F7E3" w14:textId="77777777" w:rsidTr="00EC0624">
        <w:trPr>
          <w:trHeight w:val="584"/>
        </w:trPr>
        <w:tc>
          <w:tcPr>
            <w:tcW w:w="1695" w:type="dxa"/>
            <w:tcBorders>
              <w:top w:val="double" w:sz="4" w:space="0" w:color="auto"/>
            </w:tcBorders>
            <w:hideMark/>
          </w:tcPr>
          <w:p w14:paraId="49D6C439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 xml:space="preserve">APOE </w:t>
            </w:r>
            <w:r>
              <w:rPr>
                <w:bCs/>
                <w:lang w:val="en-AU"/>
              </w:rPr>
              <w:t>e3 carrier</w:t>
            </w:r>
          </w:p>
        </w:tc>
        <w:tc>
          <w:tcPr>
            <w:tcW w:w="851" w:type="dxa"/>
            <w:tcBorders>
              <w:top w:val="double" w:sz="4" w:space="0" w:color="auto"/>
            </w:tcBorders>
            <w:hideMark/>
          </w:tcPr>
          <w:p w14:paraId="4F32A2BC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>SCD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14:paraId="6499F2F1" w14:textId="77777777" w:rsidR="00226D92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0.04 (0.06)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0109EFEE" w14:textId="77777777" w:rsidR="00226D92" w:rsidRPr="00602ECD" w:rsidRDefault="003B4AB5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-0.05 (-0.32- 0.22)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54631E8" w14:textId="77777777" w:rsidR="00226D92" w:rsidRPr="00321454" w:rsidRDefault="000829DB" w:rsidP="00226D92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0.52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0F5972E" w14:textId="77777777" w:rsidR="00226D92" w:rsidRPr="00321454" w:rsidRDefault="000829DB" w:rsidP="00226D92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&gt;0.05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8B59582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0.01</w:t>
            </w:r>
            <w:r w:rsidR="00EA59CE">
              <w:rPr>
                <w:bCs/>
                <w:lang w:val="en-AU"/>
              </w:rPr>
              <w:t xml:space="preserve"> (0.05)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9354EE1" w14:textId="57D07A67" w:rsidR="00226D92" w:rsidRPr="00602ECD" w:rsidRDefault="001C4DE9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0.008 (-0.26-0.28)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D1FDF7C" w14:textId="77777777" w:rsidR="00226D92" w:rsidRPr="00321454" w:rsidRDefault="00226D92" w:rsidP="00226D92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0.82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</w:tcBorders>
          </w:tcPr>
          <w:p w14:paraId="5ACD7867" w14:textId="77777777" w:rsidR="00226D92" w:rsidRPr="00321454" w:rsidRDefault="00F06887" w:rsidP="00226D92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&gt;0.05</w:t>
            </w:r>
          </w:p>
        </w:tc>
      </w:tr>
      <w:tr w:rsidR="00226D92" w:rsidRPr="00BB5365" w14:paraId="51C59223" w14:textId="77777777" w:rsidTr="00EC0624">
        <w:trPr>
          <w:trHeight w:val="584"/>
        </w:trPr>
        <w:tc>
          <w:tcPr>
            <w:tcW w:w="1695" w:type="dxa"/>
            <w:tcBorders>
              <w:bottom w:val="single" w:sz="4" w:space="0" w:color="BFBFBF" w:themeColor="background1" w:themeShade="BF"/>
            </w:tcBorders>
            <w:hideMark/>
          </w:tcPr>
          <w:p w14:paraId="2F828B98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hideMark/>
          </w:tcPr>
          <w:p w14:paraId="3E320EAD" w14:textId="77777777" w:rsidR="00226D92" w:rsidRPr="00602ECD" w:rsidRDefault="00226D92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>MCI</w:t>
            </w:r>
          </w:p>
        </w:tc>
        <w:tc>
          <w:tcPr>
            <w:tcW w:w="1702" w:type="dxa"/>
            <w:tcBorders>
              <w:bottom w:val="single" w:sz="4" w:space="0" w:color="BFBFBF" w:themeColor="background1" w:themeShade="BF"/>
            </w:tcBorders>
          </w:tcPr>
          <w:p w14:paraId="2169CF20" w14:textId="77777777" w:rsidR="00226D92" w:rsidRPr="00602ECD" w:rsidRDefault="000829DB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-0.25 (0.10)</w:t>
            </w:r>
          </w:p>
        </w:tc>
        <w:tc>
          <w:tcPr>
            <w:tcW w:w="1871" w:type="dxa"/>
            <w:tcBorders>
              <w:bottom w:val="single" w:sz="4" w:space="0" w:color="BFBFBF" w:themeColor="background1" w:themeShade="BF"/>
            </w:tcBorders>
          </w:tcPr>
          <w:p w14:paraId="733BD504" w14:textId="77777777" w:rsidR="00226D92" w:rsidRPr="00602ECD" w:rsidRDefault="003B4AB5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0.46 (0.11-0.81)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5967E4DA" w14:textId="77777777" w:rsidR="00226D92" w:rsidRPr="00321454" w:rsidRDefault="000829DB" w:rsidP="00226D92">
            <w:pPr>
              <w:spacing w:before="240"/>
              <w:jc w:val="center"/>
            </w:pPr>
            <w:r>
              <w:t>0.01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01C35657" w14:textId="77777777" w:rsidR="00226D92" w:rsidRPr="00321454" w:rsidRDefault="000829DB" w:rsidP="00226D92">
            <w:pPr>
              <w:spacing w:before="240"/>
              <w:jc w:val="center"/>
            </w:pPr>
            <w:r>
              <w:t>0.17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DD40499" w14:textId="77777777" w:rsidR="00226D92" w:rsidRPr="00602ECD" w:rsidRDefault="00EA59CE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</w:t>
            </w:r>
            <w:r w:rsidR="00226D92">
              <w:rPr>
                <w:bCs/>
                <w:lang w:val="en-AU"/>
              </w:rPr>
              <w:t>0.19 (0.08)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9C135E2" w14:textId="042AE134" w:rsidR="00226D92" w:rsidRPr="00602ECD" w:rsidRDefault="001C4DE9" w:rsidP="00226D92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0.40 (0.05-0.75)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543CD07A" w14:textId="77777777" w:rsidR="00226D92" w:rsidRPr="00321454" w:rsidRDefault="00226D92" w:rsidP="00226D92">
            <w:pPr>
              <w:spacing w:before="240"/>
              <w:jc w:val="center"/>
            </w:pPr>
            <w:r>
              <w:t>0.02</w:t>
            </w:r>
          </w:p>
        </w:tc>
        <w:tc>
          <w:tcPr>
            <w:tcW w:w="1137" w:type="dxa"/>
            <w:gridSpan w:val="2"/>
            <w:tcBorders>
              <w:bottom w:val="single" w:sz="4" w:space="0" w:color="BFBFBF" w:themeColor="background1" w:themeShade="BF"/>
            </w:tcBorders>
          </w:tcPr>
          <w:p w14:paraId="3C16CD0F" w14:textId="77777777" w:rsidR="00226D92" w:rsidRPr="00321454" w:rsidRDefault="00F06887" w:rsidP="00226D92">
            <w:pPr>
              <w:spacing w:before="240"/>
              <w:jc w:val="center"/>
            </w:pPr>
            <w:r>
              <w:t>0.36</w:t>
            </w:r>
          </w:p>
        </w:tc>
      </w:tr>
      <w:tr w:rsidR="000829DB" w:rsidRPr="00DA176E" w14:paraId="09BF1D4E" w14:textId="77777777" w:rsidTr="00EC0624">
        <w:trPr>
          <w:trHeight w:val="584"/>
        </w:trPr>
        <w:tc>
          <w:tcPr>
            <w:tcW w:w="1695" w:type="dxa"/>
            <w:tcBorders>
              <w:bottom w:val="double" w:sz="4" w:space="0" w:color="auto"/>
            </w:tcBorders>
            <w:hideMark/>
          </w:tcPr>
          <w:p w14:paraId="238432D1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hideMark/>
          </w:tcPr>
          <w:p w14:paraId="219E3732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 xml:space="preserve">AD </w:t>
            </w: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14:paraId="4DB846A4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0.24 (0.07)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317AD460" w14:textId="77777777" w:rsidR="000829DB" w:rsidRPr="0040077E" w:rsidRDefault="003502B5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0.42 (0.17-0.66)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03235B3" w14:textId="77777777" w:rsidR="000829DB" w:rsidRPr="00321454" w:rsidRDefault="000829DB" w:rsidP="000829DB">
            <w:pPr>
              <w:spacing w:before="240"/>
              <w:jc w:val="center"/>
            </w:pPr>
            <w:r>
              <w:t>&lt;0.001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142F12A" w14:textId="77777777" w:rsidR="000829DB" w:rsidRPr="00321454" w:rsidRDefault="000829DB" w:rsidP="000829DB">
            <w:pPr>
              <w:spacing w:before="240"/>
              <w:jc w:val="center"/>
            </w:pPr>
            <w:r>
              <w:t>0.009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2AA9A1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-0.17 (0.05)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FBA695E" w14:textId="22840CB6" w:rsidR="000829DB" w:rsidRPr="0040077E" w:rsidRDefault="001C4DE9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0.39 (0.14-0.63)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D6919EF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t>0.002</w:t>
            </w:r>
          </w:p>
        </w:tc>
        <w:tc>
          <w:tcPr>
            <w:tcW w:w="1137" w:type="dxa"/>
            <w:gridSpan w:val="2"/>
            <w:tcBorders>
              <w:bottom w:val="double" w:sz="4" w:space="0" w:color="auto"/>
            </w:tcBorders>
          </w:tcPr>
          <w:p w14:paraId="6414B70B" w14:textId="77777777" w:rsidR="000829DB" w:rsidRPr="0040077E" w:rsidRDefault="00F06887" w:rsidP="000829DB">
            <w:pPr>
              <w:keepNext/>
              <w:spacing w:before="240"/>
              <w:jc w:val="center"/>
            </w:pPr>
            <w:r>
              <w:t>0.04</w:t>
            </w:r>
          </w:p>
        </w:tc>
      </w:tr>
      <w:tr w:rsidR="000829DB" w:rsidRPr="00DA176E" w14:paraId="2B077461" w14:textId="77777777" w:rsidTr="00EC0624">
        <w:trPr>
          <w:trHeight w:val="584"/>
        </w:trPr>
        <w:tc>
          <w:tcPr>
            <w:tcW w:w="1695" w:type="dxa"/>
            <w:tcBorders>
              <w:top w:val="double" w:sz="4" w:space="0" w:color="auto"/>
            </w:tcBorders>
          </w:tcPr>
          <w:p w14:paraId="03D3F9EE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 xml:space="preserve">APOE </w:t>
            </w:r>
            <w:r>
              <w:rPr>
                <w:bCs/>
                <w:lang w:val="en-AU"/>
              </w:rPr>
              <w:t>e4 carrier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627C299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>SCD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14:paraId="6E616F0D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0.33 (0.08)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2AEE2F26" w14:textId="77777777" w:rsidR="000829DB" w:rsidRDefault="003B4AB5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0.64 (0.29-0.98)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E938E2A" w14:textId="77777777" w:rsidR="000829DB" w:rsidRPr="00321454" w:rsidRDefault="000829DB" w:rsidP="000829DB">
            <w:pPr>
              <w:spacing w:before="240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&lt;0.001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DC18E10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573ED7B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-0.22 (0.06)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B6A5037" w14:textId="3E443AC9" w:rsidR="000829DB" w:rsidRDefault="001C4DE9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0.56 (0.21-0.90)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94213A" w14:textId="77777777" w:rsidR="000829DB" w:rsidRPr="00321454" w:rsidRDefault="000829DB" w:rsidP="000829DB">
            <w:pPr>
              <w:spacing w:before="240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&lt;0.001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</w:tcBorders>
          </w:tcPr>
          <w:p w14:paraId="45CB8057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0829DB" w:rsidRPr="00DA176E" w14:paraId="5A94D29B" w14:textId="77777777" w:rsidTr="00EC0624">
        <w:trPr>
          <w:trHeight w:val="584"/>
        </w:trPr>
        <w:tc>
          <w:tcPr>
            <w:tcW w:w="1695" w:type="dxa"/>
          </w:tcPr>
          <w:p w14:paraId="580880DB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851" w:type="dxa"/>
          </w:tcPr>
          <w:p w14:paraId="594446AC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>MCI</w:t>
            </w:r>
          </w:p>
        </w:tc>
        <w:tc>
          <w:tcPr>
            <w:tcW w:w="1702" w:type="dxa"/>
          </w:tcPr>
          <w:p w14:paraId="2B580AA7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0.29 (0.07)</w:t>
            </w:r>
          </w:p>
        </w:tc>
        <w:tc>
          <w:tcPr>
            <w:tcW w:w="1871" w:type="dxa"/>
          </w:tcPr>
          <w:p w14:paraId="6B9D7E29" w14:textId="77777777" w:rsidR="000829DB" w:rsidRDefault="003B4AB5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0.52 (0.25-0.79)</w:t>
            </w:r>
          </w:p>
        </w:tc>
        <w:tc>
          <w:tcPr>
            <w:tcW w:w="1134" w:type="dxa"/>
          </w:tcPr>
          <w:p w14:paraId="13FDCE67" w14:textId="77777777" w:rsidR="000829DB" w:rsidRPr="00321454" w:rsidRDefault="000829DB" w:rsidP="000829DB">
            <w:pPr>
              <w:spacing w:before="240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&lt;0.001</w:t>
            </w:r>
          </w:p>
        </w:tc>
        <w:tc>
          <w:tcPr>
            <w:tcW w:w="1134" w:type="dxa"/>
          </w:tcPr>
          <w:p w14:paraId="0AE4014A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701" w:type="dxa"/>
          </w:tcPr>
          <w:p w14:paraId="68122C60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-0.21 (0.06)</w:t>
            </w:r>
          </w:p>
        </w:tc>
        <w:tc>
          <w:tcPr>
            <w:tcW w:w="1701" w:type="dxa"/>
          </w:tcPr>
          <w:p w14:paraId="1C3D5D6E" w14:textId="0D854D8B" w:rsidR="000829DB" w:rsidRPr="00321454" w:rsidRDefault="001C4DE9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0.49 (0.23-0.76)</w:t>
            </w:r>
          </w:p>
        </w:tc>
        <w:tc>
          <w:tcPr>
            <w:tcW w:w="1134" w:type="dxa"/>
          </w:tcPr>
          <w:p w14:paraId="793616C8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37" w:type="dxa"/>
            <w:gridSpan w:val="2"/>
          </w:tcPr>
          <w:p w14:paraId="2B14DDFC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0829DB" w:rsidRPr="00DA176E" w14:paraId="44D7F2B7" w14:textId="77777777" w:rsidTr="00EC0624">
        <w:trPr>
          <w:trHeight w:val="584"/>
        </w:trPr>
        <w:tc>
          <w:tcPr>
            <w:tcW w:w="1695" w:type="dxa"/>
          </w:tcPr>
          <w:p w14:paraId="1A6057C8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</w:p>
        </w:tc>
        <w:tc>
          <w:tcPr>
            <w:tcW w:w="851" w:type="dxa"/>
          </w:tcPr>
          <w:p w14:paraId="7D145477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 w:rsidRPr="00602ECD">
              <w:rPr>
                <w:bCs/>
                <w:lang w:val="en-AU"/>
              </w:rPr>
              <w:t xml:space="preserve">AD </w:t>
            </w:r>
          </w:p>
        </w:tc>
        <w:tc>
          <w:tcPr>
            <w:tcW w:w="1702" w:type="dxa"/>
          </w:tcPr>
          <w:p w14:paraId="0FF95E02" w14:textId="77777777" w:rsidR="000829DB" w:rsidRPr="00602ECD" w:rsidRDefault="000829DB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0.07 (0.04)</w:t>
            </w:r>
          </w:p>
        </w:tc>
        <w:tc>
          <w:tcPr>
            <w:tcW w:w="1871" w:type="dxa"/>
          </w:tcPr>
          <w:p w14:paraId="6C98211B" w14:textId="77777777" w:rsidR="000829DB" w:rsidRDefault="003B4AB5" w:rsidP="000829DB">
            <w:pPr>
              <w:spacing w:before="240" w:line="480" w:lineRule="auto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0.14 (-0.02- 0.30)</w:t>
            </w:r>
          </w:p>
        </w:tc>
        <w:tc>
          <w:tcPr>
            <w:tcW w:w="1134" w:type="dxa"/>
          </w:tcPr>
          <w:p w14:paraId="233AF35C" w14:textId="77777777" w:rsidR="000829DB" w:rsidRPr="00321454" w:rsidRDefault="000829DB" w:rsidP="000829DB">
            <w:pPr>
              <w:spacing w:before="240"/>
              <w:jc w:val="center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0.11</w:t>
            </w:r>
          </w:p>
        </w:tc>
        <w:tc>
          <w:tcPr>
            <w:tcW w:w="1134" w:type="dxa"/>
          </w:tcPr>
          <w:p w14:paraId="2796CF4A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&gt;0.05</w:t>
            </w:r>
          </w:p>
        </w:tc>
        <w:tc>
          <w:tcPr>
            <w:tcW w:w="1701" w:type="dxa"/>
          </w:tcPr>
          <w:p w14:paraId="5F9B0C91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-0.03 (0.04)</w:t>
            </w:r>
          </w:p>
        </w:tc>
        <w:tc>
          <w:tcPr>
            <w:tcW w:w="1701" w:type="dxa"/>
          </w:tcPr>
          <w:p w14:paraId="5A3E09D7" w14:textId="2DB25391" w:rsidR="000829DB" w:rsidRPr="00321454" w:rsidRDefault="001C4DE9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0.07 (-0.09-0.23)</w:t>
            </w:r>
          </w:p>
        </w:tc>
        <w:tc>
          <w:tcPr>
            <w:tcW w:w="1134" w:type="dxa"/>
          </w:tcPr>
          <w:p w14:paraId="190C5DEA" w14:textId="77777777" w:rsidR="000829DB" w:rsidRPr="00321454" w:rsidRDefault="000829DB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0.41</w:t>
            </w:r>
          </w:p>
        </w:tc>
        <w:tc>
          <w:tcPr>
            <w:tcW w:w="1137" w:type="dxa"/>
            <w:gridSpan w:val="2"/>
          </w:tcPr>
          <w:p w14:paraId="0A7BA790" w14:textId="77777777" w:rsidR="000829DB" w:rsidRPr="00321454" w:rsidRDefault="00F06887" w:rsidP="000829D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&gt;0.05</w:t>
            </w:r>
          </w:p>
        </w:tc>
      </w:tr>
      <w:tr w:rsidR="000829DB" w:rsidRPr="00B23FD9" w14:paraId="7A10E595" w14:textId="77777777" w:rsidTr="00EC0624">
        <w:trPr>
          <w:gridAfter w:val="1"/>
          <w:wAfter w:w="170" w:type="dxa"/>
          <w:trHeight w:val="584"/>
        </w:trPr>
        <w:tc>
          <w:tcPr>
            <w:tcW w:w="13890" w:type="dxa"/>
            <w:gridSpan w:val="10"/>
          </w:tcPr>
          <w:p w14:paraId="2B872130" w14:textId="266C9C5D" w:rsidR="000829DB" w:rsidRPr="00602ECD" w:rsidRDefault="00C839B6" w:rsidP="00C8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480" w:lineRule="auto"/>
              <w:rPr>
                <w:bCs/>
                <w:lang w:val="en-AU"/>
              </w:rPr>
            </w:pPr>
            <w:r w:rsidRPr="00602ECD">
              <w:rPr>
                <w:kern w:val="24"/>
                <w:lang w:val="en-US"/>
              </w:rPr>
              <w:lastRenderedPageBreak/>
              <w:t xml:space="preserve">Differences in CSF Tau and pTau for women and men stratified per APOE e4 genotype and clinical diagnosis. </w:t>
            </w:r>
            <w:r w:rsidRPr="00602ECD">
              <w:rPr>
                <w:lang w:val="en-US"/>
              </w:rPr>
              <w:t>Tau and pTau were log transformed to meet assumptions of normality. We performed GLM in CSF biomarker concentrations stratified for APOE genotype and clinical di</w:t>
            </w:r>
            <w:r>
              <w:rPr>
                <w:lang w:val="en-US"/>
              </w:rPr>
              <w:t>sease stage as shown in figure 1</w:t>
            </w:r>
            <w:r w:rsidRPr="00602ECD">
              <w:rPr>
                <w:lang w:val="en-US"/>
              </w:rPr>
              <w:t>. These analyses i</w:t>
            </w:r>
            <w:r>
              <w:rPr>
                <w:lang w:val="en-US"/>
              </w:rPr>
              <w:t>ncluded sex as a factor and age</w:t>
            </w:r>
            <w:r w:rsidRPr="00602ECD">
              <w:rPr>
                <w:lang w:val="en-US"/>
              </w:rPr>
              <w:t xml:space="preserve"> as covariate. </w:t>
            </w:r>
            <w:r>
              <w:rPr>
                <w:lang w:val="en-US"/>
              </w:rPr>
              <w:t>Cohen’s d statistics were used to calculate effect sizes: small=0.2, medium= 0.5, large= 0.8.</w:t>
            </w:r>
            <w:r w:rsidRPr="00602ECD">
              <w:rPr>
                <w:kern w:val="24"/>
                <w:lang w:val="en-US"/>
              </w:rPr>
              <w:t xml:space="preserve"> </w:t>
            </w:r>
            <w:r w:rsidRPr="00602ECD">
              <w:rPr>
                <w:bCs/>
                <w:i/>
                <w:lang w:val="en-AU"/>
              </w:rPr>
              <w:t>p</w:t>
            </w:r>
            <w:r w:rsidRPr="00602ECD">
              <w:rPr>
                <w:bCs/>
                <w:lang w:val="en-AU"/>
              </w:rPr>
              <w:t xml:space="preserve"> </w:t>
            </w:r>
            <w:r>
              <w:rPr>
                <w:bCs/>
                <w:lang w:val="en-AU"/>
              </w:rPr>
              <w:t>&lt;0.05 is considered significant</w:t>
            </w:r>
            <w:r w:rsidRPr="00602ECD">
              <w:rPr>
                <w:bCs/>
                <w:lang w:val="en-AU"/>
              </w:rPr>
              <w:t xml:space="preserve">. </w:t>
            </w:r>
            <w:r w:rsidRPr="00602ECD">
              <w:rPr>
                <w:bCs/>
                <w:vertAlign w:val="superscript"/>
                <w:lang w:val="en-AU"/>
              </w:rPr>
              <w:t>a</w:t>
            </w:r>
            <w:r w:rsidRPr="00602ECD">
              <w:rPr>
                <w:bCs/>
                <w:lang w:val="en-AU"/>
              </w:rPr>
              <w:t xml:space="preserve"> Reference is female sex. </w:t>
            </w:r>
            <w:r w:rsidRPr="00602ECD">
              <w:rPr>
                <w:bCs/>
                <w:vertAlign w:val="superscript"/>
                <w:lang w:val="en-AU"/>
              </w:rPr>
              <w:t xml:space="preserve"> b</w:t>
            </w:r>
            <w:r w:rsidRPr="00602ECD">
              <w:rPr>
                <w:bCs/>
                <w:lang w:val="en-AU"/>
              </w:rPr>
              <w:t xml:space="preserve"> Adjustments for age at time of lumbar puncture. Abbreviations: APOE, Apolipoprotein E4; SCD, Subjective Cognitive Decline; MCI, Mild Cognitive Impairment; AD, Alzheimer’s Disease; MMSE, Mini Mental State Exam</w:t>
            </w:r>
            <w:r w:rsidRPr="00B23FD9">
              <w:rPr>
                <w:bCs/>
                <w:lang w:val="en-AU"/>
              </w:rPr>
              <w:t>; 95% CI, 95% Confidence Interval.</w:t>
            </w:r>
          </w:p>
        </w:tc>
      </w:tr>
    </w:tbl>
    <w:p w14:paraId="75447957" w14:textId="77777777" w:rsidR="0040077E" w:rsidRPr="0040077E" w:rsidRDefault="0040077E" w:rsidP="0040077E">
      <w:pPr>
        <w:rPr>
          <w:rFonts w:ascii="Times New Roman" w:hAnsi="Times New Roman" w:cs="Times New Roman"/>
          <w:b/>
          <w:lang w:val="en-US"/>
        </w:rPr>
      </w:pPr>
    </w:p>
    <w:sectPr w:rsidR="0040077E" w:rsidRPr="0040077E" w:rsidSect="00400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E"/>
    <w:rsid w:val="000829DB"/>
    <w:rsid w:val="00194E3B"/>
    <w:rsid w:val="001C4DE9"/>
    <w:rsid w:val="0022015B"/>
    <w:rsid w:val="00226D92"/>
    <w:rsid w:val="002A5BDB"/>
    <w:rsid w:val="003502B5"/>
    <w:rsid w:val="003B4AB5"/>
    <w:rsid w:val="00400032"/>
    <w:rsid w:val="0040077E"/>
    <w:rsid w:val="00555F62"/>
    <w:rsid w:val="005B1EB0"/>
    <w:rsid w:val="00640866"/>
    <w:rsid w:val="007C0833"/>
    <w:rsid w:val="00897FA7"/>
    <w:rsid w:val="008E64A9"/>
    <w:rsid w:val="00A75121"/>
    <w:rsid w:val="00B23FD9"/>
    <w:rsid w:val="00C839B6"/>
    <w:rsid w:val="00EA59CE"/>
    <w:rsid w:val="00EC0624"/>
    <w:rsid w:val="00F06887"/>
    <w:rsid w:val="00F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ADD6"/>
  <w15:chartTrackingRefBased/>
  <w15:docId w15:val="{933CF7C2-3744-4FAE-9C03-4594A042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Light1">
    <w:name w:val="Table Grid Light1"/>
    <w:basedOn w:val="Standaardtabel"/>
    <w:uiPriority w:val="40"/>
    <w:rsid w:val="00400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201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01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01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1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15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F8CD56F3</Template>
  <TotalTime>92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Babapour Mofrad, R.</dc:creator>
  <cp:keywords/>
  <dc:description/>
  <cp:lastModifiedBy>Babapour Mofrad, R.</cp:lastModifiedBy>
  <cp:revision>11</cp:revision>
  <dcterms:created xsi:type="dcterms:W3CDTF">2020-02-10T09:48:00Z</dcterms:created>
  <dcterms:modified xsi:type="dcterms:W3CDTF">2020-02-13T16:47:00Z</dcterms:modified>
</cp:coreProperties>
</file>