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1AA63" w14:textId="77777777" w:rsidR="00003398" w:rsidRDefault="00003398" w:rsidP="0025559B">
      <w:pPr>
        <w:wordWrap/>
        <w:adjustRightInd w:val="0"/>
        <w:spacing w:after="0" w:line="480" w:lineRule="auto"/>
        <w:ind w:left="720" w:hanging="720"/>
        <w:jc w:val="left"/>
        <w:rPr>
          <w:rFonts w:ascii="Times New Roman" w:eastAsiaTheme="minorHAnsi" w:hAnsi="Times New Roman" w:cs="Times New Roman"/>
          <w:b/>
          <w:sz w:val="24"/>
          <w:szCs w:val="24"/>
        </w:rPr>
      </w:pPr>
      <w:r>
        <w:rPr>
          <w:rFonts w:ascii="Times New Roman" w:eastAsiaTheme="minorHAnsi" w:hAnsi="Times New Roman" w:cs="Times New Roman"/>
          <w:b/>
          <w:sz w:val="24"/>
          <w:szCs w:val="24"/>
        </w:rPr>
        <w:t>Captions for supplementary Figs and Tables</w:t>
      </w:r>
      <w:bookmarkStart w:id="0" w:name="_GoBack"/>
      <w:bookmarkEnd w:id="0"/>
    </w:p>
    <w:p w14:paraId="5C52788C" w14:textId="77777777" w:rsidR="00003398" w:rsidRDefault="00003398" w:rsidP="0025559B">
      <w:pPr>
        <w:wordWrap/>
        <w:adjustRightInd w:val="0"/>
        <w:spacing w:after="0" w:line="480" w:lineRule="auto"/>
        <w:ind w:left="720" w:hanging="720"/>
        <w:jc w:val="left"/>
        <w:rPr>
          <w:rFonts w:ascii="Times New Roman" w:eastAsiaTheme="minorHAnsi" w:hAnsi="Times New Roman" w:cs="Times New Roman"/>
          <w:b/>
          <w:sz w:val="24"/>
          <w:szCs w:val="24"/>
        </w:rPr>
      </w:pPr>
    </w:p>
    <w:p w14:paraId="62E771DE" w14:textId="77777777" w:rsidR="0025559B" w:rsidRDefault="0025559B" w:rsidP="0025559B">
      <w:pPr>
        <w:wordWrap/>
        <w:adjustRightInd w:val="0"/>
        <w:spacing w:after="0" w:line="480" w:lineRule="auto"/>
        <w:ind w:left="720" w:hanging="720"/>
        <w:jc w:val="left"/>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Fig. S1. </w:t>
      </w:r>
      <w:r>
        <w:rPr>
          <w:rFonts w:ascii="Times New Roman" w:eastAsiaTheme="minorHAnsi" w:hAnsi="Times New Roman" w:cs="Times New Roman"/>
          <w:sz w:val="24"/>
          <w:szCs w:val="24"/>
        </w:rPr>
        <w:t>Comparisons of two kinds of zero solution correction methods. Left and right columns are the Korean magpie and Japanese tit eggshells, respectively. A</w:t>
      </w:r>
      <w:r>
        <w:rPr>
          <w:rFonts w:ascii="Times New Roman" w:eastAsiaTheme="minorHAnsi" w:hAnsi="Times New Roman" w:cs="Times New Roman"/>
          <w:color w:val="000000" w:themeColor="text1"/>
          <w:sz w:val="24"/>
          <w:szCs w:val="24"/>
        </w:rPr>
        <w:t>–</w:t>
      </w:r>
      <w:r>
        <w:rPr>
          <w:rFonts w:ascii="Times New Roman" w:eastAsiaTheme="minorHAnsi" w:hAnsi="Times New Roman" w:cs="Times New Roman"/>
          <w:sz w:val="24"/>
          <w:szCs w:val="24"/>
        </w:rPr>
        <w:t>B, raw data. C</w:t>
      </w:r>
      <w:r>
        <w:rPr>
          <w:rFonts w:ascii="Times New Roman" w:eastAsiaTheme="minorHAnsi" w:hAnsi="Times New Roman" w:cs="Times New Roman"/>
          <w:color w:val="000000" w:themeColor="text1"/>
          <w:sz w:val="24"/>
          <w:szCs w:val="24"/>
        </w:rPr>
        <w:t>–</w:t>
      </w:r>
      <w:r>
        <w:rPr>
          <w:rFonts w:ascii="Times New Roman" w:eastAsiaTheme="minorHAnsi" w:hAnsi="Times New Roman" w:cs="Times New Roman"/>
          <w:sz w:val="24"/>
          <w:szCs w:val="24"/>
        </w:rPr>
        <w:t>D, a zero solution is corrected when it is surrounded by at least six consistent pixels and this step was iterated three times. E</w:t>
      </w:r>
      <w:r>
        <w:rPr>
          <w:rFonts w:ascii="Times New Roman" w:eastAsiaTheme="minorHAnsi" w:hAnsi="Times New Roman" w:cs="Times New Roman"/>
          <w:color w:val="000000" w:themeColor="text1"/>
          <w:sz w:val="24"/>
          <w:szCs w:val="24"/>
        </w:rPr>
        <w:t>–</w:t>
      </w:r>
      <w:r>
        <w:rPr>
          <w:rFonts w:ascii="Times New Roman" w:eastAsiaTheme="minorHAnsi" w:hAnsi="Times New Roman" w:cs="Times New Roman"/>
          <w:sz w:val="24"/>
          <w:szCs w:val="24"/>
        </w:rPr>
        <w:t>F, a zero solution is corrected when it is surrounded by at least four consistent pixels. Black arrows in A</w:t>
      </w:r>
      <w:r>
        <w:rPr>
          <w:rFonts w:ascii="Times New Roman" w:eastAsiaTheme="minorHAnsi" w:hAnsi="Times New Roman" w:cs="Times New Roman"/>
          <w:color w:val="000000" w:themeColor="text1"/>
          <w:sz w:val="24"/>
          <w:szCs w:val="24"/>
        </w:rPr>
        <w:t>–</w:t>
      </w:r>
      <w:r>
        <w:rPr>
          <w:rFonts w:ascii="Times New Roman" w:eastAsiaTheme="minorHAnsi" w:hAnsi="Times New Roman" w:cs="Times New Roman"/>
          <w:sz w:val="24"/>
          <w:szCs w:val="24"/>
        </w:rPr>
        <w:t>B mark the zero solution caused by the existence of vesicles in the eggshell (i.e. biological traits) that should not be corrected. White arrows in A</w:t>
      </w:r>
      <w:r>
        <w:rPr>
          <w:rFonts w:ascii="Times New Roman" w:eastAsiaTheme="minorHAnsi" w:hAnsi="Times New Roman" w:cs="Times New Roman"/>
          <w:color w:val="000000" w:themeColor="text1"/>
          <w:sz w:val="24"/>
          <w:szCs w:val="24"/>
        </w:rPr>
        <w:t>–</w:t>
      </w:r>
      <w:r>
        <w:rPr>
          <w:rFonts w:ascii="Times New Roman" w:eastAsiaTheme="minorHAnsi" w:hAnsi="Times New Roman" w:cs="Times New Roman"/>
          <w:sz w:val="24"/>
          <w:szCs w:val="24"/>
        </w:rPr>
        <w:t>B point the zero solution caused by the overlapping of Kikuchi lines of two adjacent grains that should be corrected (i.e. mechanical artefact). Note that, in C</w:t>
      </w:r>
      <w:r>
        <w:rPr>
          <w:rFonts w:ascii="Times New Roman" w:eastAsiaTheme="minorHAnsi" w:hAnsi="Times New Roman" w:cs="Times New Roman"/>
          <w:color w:val="000000" w:themeColor="text1"/>
          <w:sz w:val="24"/>
          <w:szCs w:val="24"/>
        </w:rPr>
        <w:t>–</w:t>
      </w:r>
      <w:r>
        <w:rPr>
          <w:rFonts w:ascii="Times New Roman" w:eastAsiaTheme="minorHAnsi" w:hAnsi="Times New Roman" w:cs="Times New Roman"/>
          <w:sz w:val="24"/>
          <w:szCs w:val="24"/>
        </w:rPr>
        <w:t>D, zero solutions marked by white arrows in A</w:t>
      </w:r>
      <w:r>
        <w:rPr>
          <w:rFonts w:ascii="Times New Roman" w:eastAsiaTheme="minorHAnsi" w:hAnsi="Times New Roman" w:cs="Times New Roman"/>
          <w:color w:val="000000" w:themeColor="text1"/>
          <w:sz w:val="24"/>
          <w:szCs w:val="24"/>
        </w:rPr>
        <w:t>–</w:t>
      </w:r>
      <w:r>
        <w:rPr>
          <w:rFonts w:ascii="Times New Roman" w:eastAsiaTheme="minorHAnsi" w:hAnsi="Times New Roman" w:cs="Times New Roman"/>
          <w:sz w:val="24"/>
          <w:szCs w:val="24"/>
        </w:rPr>
        <w:t>B are usually corrected whereas those marked by black arrows in A</w:t>
      </w:r>
      <w:r>
        <w:rPr>
          <w:rFonts w:ascii="Times New Roman" w:eastAsiaTheme="minorHAnsi" w:hAnsi="Times New Roman" w:cs="Times New Roman"/>
          <w:color w:val="000000" w:themeColor="text1"/>
          <w:sz w:val="24"/>
          <w:szCs w:val="24"/>
        </w:rPr>
        <w:t xml:space="preserve">–B </w:t>
      </w:r>
      <w:r>
        <w:rPr>
          <w:rFonts w:ascii="Times New Roman" w:eastAsiaTheme="minorHAnsi" w:hAnsi="Times New Roman" w:cs="Times New Roman"/>
          <w:sz w:val="24"/>
          <w:szCs w:val="24"/>
        </w:rPr>
        <w:t>are preserved. In case of E</w:t>
      </w:r>
      <w:r>
        <w:rPr>
          <w:rFonts w:ascii="Times New Roman" w:eastAsiaTheme="minorHAnsi" w:hAnsi="Times New Roman" w:cs="Times New Roman"/>
          <w:color w:val="000000" w:themeColor="text1"/>
          <w:sz w:val="24"/>
          <w:szCs w:val="24"/>
        </w:rPr>
        <w:t>–</w:t>
      </w:r>
      <w:r>
        <w:rPr>
          <w:rFonts w:ascii="Times New Roman" w:eastAsiaTheme="minorHAnsi" w:hAnsi="Times New Roman" w:cs="Times New Roman"/>
          <w:sz w:val="24"/>
          <w:szCs w:val="24"/>
        </w:rPr>
        <w:t>F, excessive zero solutions are corrected. Therefore, the conservative approach adopted in C</w:t>
      </w:r>
      <w:r>
        <w:rPr>
          <w:rFonts w:ascii="Times New Roman" w:eastAsiaTheme="minorHAnsi" w:hAnsi="Times New Roman" w:cs="Times New Roman"/>
          <w:color w:val="000000" w:themeColor="text1"/>
          <w:sz w:val="24"/>
          <w:szCs w:val="24"/>
        </w:rPr>
        <w:t>–</w:t>
      </w:r>
      <w:r>
        <w:rPr>
          <w:rFonts w:ascii="Times New Roman" w:eastAsiaTheme="minorHAnsi" w:hAnsi="Times New Roman" w:cs="Times New Roman"/>
          <w:sz w:val="24"/>
          <w:szCs w:val="24"/>
        </w:rPr>
        <w:t>D is recommendable in order to conserve biological zero solution and eliminate analytical artefact. Scale bars (black rectangle) equal: 50 μm (A, C, E); 25 μm (B, D, F).</w:t>
      </w:r>
    </w:p>
    <w:p w14:paraId="640837C6" w14:textId="77777777" w:rsidR="0025559B" w:rsidRDefault="0025559B" w:rsidP="0025559B">
      <w:pPr>
        <w:wordWrap/>
        <w:adjustRightInd w:val="0"/>
        <w:spacing w:after="0" w:line="480" w:lineRule="auto"/>
        <w:ind w:left="720" w:hanging="720"/>
        <w:jc w:val="left"/>
        <w:rPr>
          <w:rFonts w:ascii="Times New Roman" w:eastAsiaTheme="minorHAnsi" w:hAnsi="Times New Roman" w:cs="Times New Roman"/>
          <w:sz w:val="24"/>
          <w:szCs w:val="24"/>
        </w:rPr>
      </w:pPr>
      <w:r>
        <w:rPr>
          <w:rFonts w:ascii="Times New Roman" w:eastAsiaTheme="minorHAnsi" w:hAnsi="Times New Roman" w:cs="Times New Roman"/>
          <w:b/>
          <w:sz w:val="24"/>
          <w:szCs w:val="24"/>
        </w:rPr>
        <w:t>Fig.</w:t>
      </w:r>
      <w:r>
        <w:rPr>
          <w:rFonts w:ascii="Times New Roman" w:eastAsiaTheme="minorHAnsi" w:hAnsi="Times New Roman" w:cs="Times New Roman"/>
          <w:sz w:val="24"/>
          <w:szCs w:val="24"/>
        </w:rPr>
        <w:t xml:space="preserve"> </w:t>
      </w:r>
      <w:r>
        <w:rPr>
          <w:rFonts w:ascii="Times New Roman" w:eastAsiaTheme="minorHAnsi" w:hAnsi="Times New Roman" w:cs="Times New Roman"/>
          <w:b/>
          <w:sz w:val="24"/>
          <w:szCs w:val="24"/>
        </w:rPr>
        <w:t>S2.</w:t>
      </w:r>
      <w:r>
        <w:rPr>
          <w:rFonts w:ascii="Times New Roman" w:eastAsiaTheme="minorHAnsi" w:hAnsi="Times New Roman" w:cs="Times New Roman"/>
          <w:sz w:val="24"/>
          <w:szCs w:val="24"/>
        </w:rPr>
        <w:t xml:space="preserve"> </w:t>
      </w:r>
      <w:r>
        <w:rPr>
          <w:rFonts w:ascii="Times New Roman" w:eastAsiaTheme="minorHAnsi" w:hAnsi="Times New Roman" w:cs="Times New Roman"/>
          <w:color w:val="000000" w:themeColor="text1"/>
          <w:sz w:val="24"/>
          <w:szCs w:val="24"/>
        </w:rPr>
        <w:t xml:space="preserve">Misorientation angles of mammillary layer plotted in histograms. Numbers in x- and y-axis represent misorientation angle (degrees) and probability, respectively. Blue bars show the misorientation distribution under neighbour-pair method, while red bars random-pair method. Black lines mark the expected frequency assuming random distribution. The numbers next to blue and red indices are sample sizes of neighbour-pair and random-pair distribution, respectively. A, </w:t>
      </w:r>
      <w:r>
        <w:rPr>
          <w:rFonts w:ascii="Times New Roman" w:eastAsiaTheme="minorHAnsi" w:hAnsi="Times New Roman" w:cs="Times New Roman"/>
          <w:i/>
          <w:color w:val="000000" w:themeColor="text1"/>
          <w:sz w:val="24"/>
          <w:szCs w:val="24"/>
        </w:rPr>
        <w:t>Elongatoolithus</w:t>
      </w:r>
      <w:r>
        <w:rPr>
          <w:rFonts w:ascii="Times New Roman" w:eastAsiaTheme="minorHAnsi" w:hAnsi="Times New Roman" w:cs="Times New Roman"/>
          <w:color w:val="000000" w:themeColor="text1"/>
          <w:sz w:val="24"/>
          <w:szCs w:val="24"/>
        </w:rPr>
        <w:t xml:space="preserve"> sp.. B, </w:t>
      </w:r>
      <w:r>
        <w:rPr>
          <w:rFonts w:ascii="Times New Roman" w:eastAsiaTheme="minorHAnsi" w:hAnsi="Times New Roman" w:cs="Times New Roman"/>
          <w:i/>
          <w:color w:val="000000" w:themeColor="text1"/>
          <w:sz w:val="24"/>
          <w:szCs w:val="24"/>
        </w:rPr>
        <w:t>Macroelongatoolithus xixiaensis.</w:t>
      </w:r>
      <w:r>
        <w:rPr>
          <w:rFonts w:ascii="Times New Roman" w:eastAsiaTheme="minorHAnsi" w:hAnsi="Times New Roman" w:cs="Times New Roman"/>
          <w:color w:val="000000" w:themeColor="text1"/>
          <w:sz w:val="24"/>
          <w:szCs w:val="24"/>
        </w:rPr>
        <w:t xml:space="preserve"> C, </w:t>
      </w:r>
      <w:r>
        <w:rPr>
          <w:rFonts w:ascii="Times New Roman" w:eastAsiaTheme="minorHAnsi" w:hAnsi="Times New Roman" w:cs="Times New Roman"/>
          <w:i/>
          <w:color w:val="000000" w:themeColor="text1"/>
          <w:sz w:val="24"/>
          <w:szCs w:val="24"/>
        </w:rPr>
        <w:t>Prismatoolithus levis.</w:t>
      </w:r>
      <w:r>
        <w:rPr>
          <w:rFonts w:ascii="Times New Roman" w:eastAsiaTheme="minorHAnsi" w:hAnsi="Times New Roman" w:cs="Times New Roman"/>
          <w:color w:val="000000" w:themeColor="text1"/>
          <w:sz w:val="24"/>
          <w:szCs w:val="24"/>
        </w:rPr>
        <w:t xml:space="preserve"> D, </w:t>
      </w:r>
      <w:r>
        <w:rPr>
          <w:rFonts w:ascii="Times New Roman" w:eastAsiaTheme="minorHAnsi" w:hAnsi="Times New Roman" w:cs="Times New Roman"/>
          <w:i/>
          <w:color w:val="000000" w:themeColor="text1"/>
          <w:sz w:val="24"/>
          <w:szCs w:val="24"/>
        </w:rPr>
        <w:t>Gobioolithus minor</w:t>
      </w:r>
      <w:r>
        <w:rPr>
          <w:rFonts w:ascii="Times New Roman" w:eastAsiaTheme="minorHAnsi" w:hAnsi="Times New Roman" w:cs="Times New Roman"/>
          <w:color w:val="000000" w:themeColor="text1"/>
          <w:sz w:val="24"/>
          <w:szCs w:val="24"/>
        </w:rPr>
        <w:t xml:space="preserve">. E, </w:t>
      </w:r>
      <w:r>
        <w:rPr>
          <w:rFonts w:ascii="Times New Roman" w:eastAsiaTheme="minorHAnsi" w:hAnsi="Times New Roman" w:cs="Times New Roman"/>
          <w:sz w:val="24"/>
          <w:szCs w:val="24"/>
        </w:rPr>
        <w:t>Rhea (</w:t>
      </w:r>
      <w:r>
        <w:rPr>
          <w:rFonts w:ascii="Times New Roman" w:eastAsiaTheme="minorHAnsi" w:hAnsi="Times New Roman" w:cs="Times New Roman"/>
          <w:i/>
          <w:sz w:val="24"/>
          <w:szCs w:val="24"/>
        </w:rPr>
        <w:t>Rhea</w:t>
      </w:r>
      <w:r>
        <w:rPr>
          <w:rFonts w:ascii="Times New Roman" w:eastAsiaTheme="minorHAnsi" w:hAnsi="Times New Roman" w:cs="Times New Roman"/>
          <w:sz w:val="24"/>
          <w:szCs w:val="24"/>
        </w:rPr>
        <w:t xml:space="preserve"> sp.). F, Duck (</w:t>
      </w:r>
      <w:r>
        <w:rPr>
          <w:rFonts w:ascii="Times New Roman" w:eastAsiaTheme="minorHAnsi" w:hAnsi="Times New Roman" w:cs="Times New Roman"/>
          <w:i/>
          <w:sz w:val="24"/>
          <w:szCs w:val="24"/>
        </w:rPr>
        <w:t>Anas platyrhynchos domesticus</w:t>
      </w:r>
      <w:r>
        <w:rPr>
          <w:rFonts w:ascii="Times New Roman" w:eastAsiaTheme="minorHAnsi" w:hAnsi="Times New Roman" w:cs="Times New Roman"/>
          <w:sz w:val="24"/>
          <w:szCs w:val="24"/>
        </w:rPr>
        <w:t>). G, Chicken (</w:t>
      </w:r>
      <w:r>
        <w:rPr>
          <w:rFonts w:ascii="Times New Roman" w:eastAsiaTheme="minorHAnsi" w:hAnsi="Times New Roman" w:cs="Times New Roman"/>
          <w:i/>
          <w:sz w:val="24"/>
          <w:szCs w:val="24"/>
        </w:rPr>
        <w:t>Galllus gallus domesticus</w:t>
      </w:r>
      <w:r>
        <w:rPr>
          <w:rFonts w:ascii="Times New Roman" w:eastAsiaTheme="minorHAnsi" w:hAnsi="Times New Roman" w:cs="Times New Roman"/>
          <w:sz w:val="24"/>
          <w:szCs w:val="24"/>
        </w:rPr>
        <w:t>). H, Japanese tit (</w:t>
      </w:r>
      <w:r>
        <w:rPr>
          <w:rFonts w:ascii="Times New Roman" w:eastAsiaTheme="minorHAnsi" w:hAnsi="Times New Roman" w:cs="Times New Roman"/>
          <w:i/>
          <w:sz w:val="24"/>
          <w:szCs w:val="24"/>
        </w:rPr>
        <w:t>Parus minor</w:t>
      </w:r>
      <w:r>
        <w:rPr>
          <w:rFonts w:ascii="Times New Roman" w:eastAsiaTheme="minorHAnsi" w:hAnsi="Times New Roman" w:cs="Times New Roman"/>
          <w:sz w:val="24"/>
          <w:szCs w:val="24"/>
        </w:rPr>
        <w:t>). I, Korean magpie (</w:t>
      </w:r>
      <w:r>
        <w:rPr>
          <w:rFonts w:ascii="Times New Roman" w:eastAsiaTheme="minorHAnsi" w:hAnsi="Times New Roman" w:cs="Times New Roman"/>
          <w:i/>
          <w:sz w:val="24"/>
          <w:szCs w:val="24"/>
        </w:rPr>
        <w:t>Pica sericea</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lastRenderedPageBreak/>
        <w:t>Note that in A</w:t>
      </w:r>
      <w:r>
        <w:rPr>
          <w:rFonts w:ascii="Times New Roman" w:eastAsia="맑은 고딕" w:hAnsi="Times New Roman" w:cs="Times New Roman"/>
          <w:sz w:val="24"/>
          <w:szCs w:val="24"/>
        </w:rPr>
        <w:t>–</w:t>
      </w:r>
      <w:r>
        <w:rPr>
          <w:rFonts w:ascii="Times New Roman" w:eastAsiaTheme="minorHAnsi" w:hAnsi="Times New Roman" w:cs="Times New Roman"/>
          <w:sz w:val="24"/>
          <w:szCs w:val="24"/>
        </w:rPr>
        <w:t xml:space="preserve">B, the neighbour-pair distribution is most positively skewed and have the lowest average. </w:t>
      </w:r>
    </w:p>
    <w:p w14:paraId="2A5096E0" w14:textId="77777777" w:rsidR="0025559B" w:rsidRDefault="0025559B" w:rsidP="0025559B">
      <w:pPr>
        <w:wordWrap/>
        <w:adjustRightInd w:val="0"/>
        <w:spacing w:after="0" w:line="480" w:lineRule="auto"/>
        <w:ind w:left="720" w:hanging="720"/>
        <w:jc w:val="left"/>
        <w:rPr>
          <w:rFonts w:ascii="Times New Roman" w:eastAsia="맑은 고딕" w:hAnsi="Times New Roman" w:cs="Times New Roman"/>
          <w:color w:val="000000" w:themeColor="text1"/>
          <w:sz w:val="24"/>
          <w:szCs w:val="24"/>
          <w:shd w:val="clear" w:color="auto" w:fill="FFFFFF"/>
        </w:rPr>
      </w:pPr>
      <w:r>
        <w:rPr>
          <w:rFonts w:ascii="Times New Roman" w:eastAsiaTheme="minorHAnsi" w:hAnsi="Times New Roman" w:cs="Times New Roman"/>
          <w:b/>
          <w:sz w:val="24"/>
          <w:szCs w:val="24"/>
        </w:rPr>
        <w:t xml:space="preserve">Fig. S3. </w:t>
      </w:r>
      <w:r>
        <w:rPr>
          <w:rFonts w:ascii="Times New Roman" w:eastAsiaTheme="minorHAnsi" w:hAnsi="Times New Roman" w:cs="Times New Roman"/>
          <w:sz w:val="24"/>
          <w:szCs w:val="24"/>
        </w:rPr>
        <w:t xml:space="preserve">The method for quantifying ruggedness of the grain boundaries in both squamatic  and external zones. A, a </w:t>
      </w:r>
      <w:r>
        <w:rPr>
          <w:rFonts w:ascii="Times New Roman" w:eastAsiaTheme="minorHAnsi" w:hAnsi="Times New Roman" w:cs="Times New Roman"/>
          <w:color w:val="000000" w:themeColor="text1"/>
          <w:sz w:val="24"/>
          <w:szCs w:val="24"/>
        </w:rPr>
        <w:t>10</w:t>
      </w:r>
      <w:r>
        <w:rPr>
          <w:rFonts w:ascii="Times New Roman" w:eastAsia="맑은 고딕" w:hAnsi="Times New Roman" w:cs="Times New Roman"/>
          <w:color w:val="000000" w:themeColor="text1"/>
          <w:sz w:val="24"/>
          <w:szCs w:val="24"/>
          <w:shd w:val="clear" w:color="auto" w:fill="FFFFFF"/>
        </w:rPr>
        <w:t xml:space="preserve">° grain boundary map of duck eggshell. ML, SqZ, and EZ denote mammillary layer, </w:t>
      </w:r>
      <w:r>
        <w:rPr>
          <w:rFonts w:ascii="Times New Roman" w:eastAsiaTheme="minorHAnsi" w:hAnsi="Times New Roman" w:cs="Times New Roman"/>
          <w:sz w:val="24"/>
          <w:szCs w:val="24"/>
        </w:rPr>
        <w:t>squamatic zone,</w:t>
      </w:r>
      <w:r>
        <w:rPr>
          <w:rFonts w:ascii="Times New Roman" w:eastAsia="맑은 고딕" w:hAnsi="Times New Roman" w:cs="Times New Roman"/>
          <w:color w:val="000000" w:themeColor="text1"/>
          <w:sz w:val="24"/>
          <w:szCs w:val="24"/>
          <w:shd w:val="clear" w:color="auto" w:fill="FFFFFF"/>
        </w:rPr>
        <w:t xml:space="preserve"> and external zone, respectively. Note rugged grain boundaries in </w:t>
      </w:r>
      <w:r>
        <w:rPr>
          <w:rFonts w:ascii="Times New Roman" w:eastAsiaTheme="minorHAnsi" w:hAnsi="Times New Roman" w:cs="Times New Roman"/>
          <w:sz w:val="24"/>
          <w:szCs w:val="24"/>
        </w:rPr>
        <w:t>squamatic zone</w:t>
      </w:r>
      <w:r>
        <w:rPr>
          <w:rFonts w:ascii="Times New Roman" w:eastAsia="맑은 고딕" w:hAnsi="Times New Roman" w:cs="Times New Roman"/>
          <w:color w:val="000000" w:themeColor="text1"/>
          <w:sz w:val="24"/>
          <w:szCs w:val="24"/>
          <w:shd w:val="clear" w:color="auto" w:fill="FFFFFF"/>
        </w:rPr>
        <w:t xml:space="preserve"> reflecting the existence of squamatic ultrastructure. The external zone is characterized by the linear grain boundaries. B–C, a simple segmental trend line (a black solid line) is plotted above the selected grain boundaries. In the case of squamatic ultrastructure, the grain boundaries with the generally linear trend, not the curved trend, were selected in order to avoid the overestimation of the calculated ratio caused by grain shape. a. b, and c are the length of the segmental trend lines. D–E, the actual lengths of grain boundaries are measured by following edges of pixels in the bitmap images. α, β and γ are the actual length of the grain boundaries. The calculated ruggedness ratios are α/a or β/b in the </w:t>
      </w:r>
      <w:r>
        <w:rPr>
          <w:rFonts w:ascii="Times New Roman" w:eastAsiaTheme="minorHAnsi" w:hAnsi="Times New Roman" w:cs="Times New Roman"/>
          <w:sz w:val="24"/>
          <w:szCs w:val="24"/>
        </w:rPr>
        <w:t>squamatic zone</w:t>
      </w:r>
      <w:r>
        <w:rPr>
          <w:rFonts w:ascii="Times New Roman" w:eastAsia="맑은 고딕" w:hAnsi="Times New Roman" w:cs="Times New Roman"/>
          <w:color w:val="000000" w:themeColor="text1"/>
          <w:sz w:val="24"/>
          <w:szCs w:val="24"/>
          <w:shd w:val="clear" w:color="auto" w:fill="FFFFFF"/>
        </w:rPr>
        <w:t xml:space="preserve"> and γ/c in the external zone, respectively. </w:t>
      </w:r>
    </w:p>
    <w:p w14:paraId="70B8D116" w14:textId="77777777" w:rsidR="0025559B" w:rsidRDefault="0025559B" w:rsidP="0025559B">
      <w:pPr>
        <w:wordWrap/>
        <w:adjustRightInd w:val="0"/>
        <w:spacing w:after="0" w:line="480" w:lineRule="auto"/>
        <w:ind w:left="720" w:hanging="720"/>
        <w:jc w:val="left"/>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Fig. S4. </w:t>
      </w:r>
      <w:r>
        <w:rPr>
          <w:rFonts w:ascii="Times New Roman" w:eastAsiaTheme="minorHAnsi" w:hAnsi="Times New Roman" w:cs="Times New Roman"/>
          <w:sz w:val="24"/>
          <w:szCs w:val="24"/>
        </w:rPr>
        <w:t xml:space="preserve">The d value among the maniraptoran eggshells. The neighbour-pair and random-pair distributions of each eggshell differ with statistical significance (p &lt; 0.001) when the d value exceed the 1.949 (denoted by a blue line). Note that eggshells of Type 1 distribution (dark grey) have much higher d value than those of eggshells of Type 2 distribution (light grey). </w:t>
      </w:r>
    </w:p>
    <w:p w14:paraId="7D3A1E4B" w14:textId="77777777" w:rsidR="0025559B" w:rsidRDefault="0025559B" w:rsidP="0025559B">
      <w:pPr>
        <w:wordWrap/>
        <w:adjustRightInd w:val="0"/>
        <w:spacing w:after="0" w:line="480" w:lineRule="auto"/>
        <w:ind w:left="720" w:hanging="720"/>
        <w:jc w:val="left"/>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Table S1. </w:t>
      </w:r>
      <w:r>
        <w:rPr>
          <w:rFonts w:ascii="Times New Roman" w:eastAsiaTheme="minorHAnsi" w:hAnsi="Times New Roman" w:cs="Times New Roman"/>
          <w:sz w:val="24"/>
          <w:szCs w:val="24"/>
        </w:rPr>
        <w:t>The indexing ratio of the specimen.</w:t>
      </w:r>
    </w:p>
    <w:p w14:paraId="39A91344" w14:textId="77777777" w:rsidR="0025559B" w:rsidRDefault="0025559B" w:rsidP="0025559B">
      <w:pPr>
        <w:wordWrap/>
        <w:adjustRightInd w:val="0"/>
        <w:spacing w:after="0" w:line="480" w:lineRule="auto"/>
        <w:ind w:left="720" w:hanging="720"/>
        <w:jc w:val="left"/>
        <w:rPr>
          <w:rFonts w:ascii="Times New Roman" w:eastAsiaTheme="minorHAnsi" w:hAnsi="Times New Roman" w:cs="Times New Roman"/>
          <w:sz w:val="24"/>
          <w:szCs w:val="24"/>
        </w:rPr>
      </w:pPr>
      <w:r>
        <w:rPr>
          <w:rFonts w:ascii="Times New Roman" w:eastAsiaTheme="minorHAnsi" w:hAnsi="Times New Roman" w:cs="Times New Roman"/>
          <w:b/>
          <w:sz w:val="24"/>
          <w:szCs w:val="24"/>
        </w:rPr>
        <w:t>Table S2.</w:t>
      </w:r>
      <w:r>
        <w:rPr>
          <w:rFonts w:ascii="Times New Roman" w:eastAsiaTheme="minorHAnsi" w:hAnsi="Times New Roman" w:cs="Times New Roman"/>
          <w:sz w:val="24"/>
          <w:szCs w:val="24"/>
        </w:rPr>
        <w:t xml:space="preserve"> Statistical data of the mammillary layer under neighbour-pair distribution.</w:t>
      </w:r>
    </w:p>
    <w:p w14:paraId="2654E076" w14:textId="77777777" w:rsidR="0025559B" w:rsidRDefault="0025559B" w:rsidP="0025559B">
      <w:pPr>
        <w:wordWrap/>
        <w:adjustRightInd w:val="0"/>
        <w:spacing w:after="0" w:line="480" w:lineRule="auto"/>
        <w:ind w:left="720" w:hanging="720"/>
        <w:jc w:val="left"/>
        <w:rPr>
          <w:rFonts w:ascii="Times New Roman" w:eastAsiaTheme="minorHAnsi" w:hAnsi="Times New Roman" w:cs="Times New Roman"/>
          <w:sz w:val="24"/>
          <w:szCs w:val="24"/>
        </w:rPr>
      </w:pPr>
      <w:r>
        <w:rPr>
          <w:rFonts w:ascii="Times New Roman" w:eastAsiaTheme="minorHAnsi" w:hAnsi="Times New Roman" w:cs="Times New Roman"/>
          <w:b/>
          <w:sz w:val="24"/>
          <w:szCs w:val="24"/>
        </w:rPr>
        <w:t>Table S3.</w:t>
      </w:r>
      <w:r>
        <w:rPr>
          <w:rFonts w:ascii="Times New Roman" w:eastAsiaTheme="minorHAnsi" w:hAnsi="Times New Roman" w:cs="Times New Roman"/>
          <w:sz w:val="24"/>
          <w:szCs w:val="24"/>
        </w:rPr>
        <w:t xml:space="preserve"> Comparison of grain boundary ruggedness between the different zones of eggshells.</w:t>
      </w:r>
    </w:p>
    <w:p w14:paraId="2133D0A8" w14:textId="77777777" w:rsidR="009A60E3" w:rsidRDefault="009A60E3"/>
    <w:sectPr w:rsidR="009A60E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E3"/>
    <w:rsid w:val="00003398"/>
    <w:rsid w:val="0025559B"/>
    <w:rsid w:val="009A60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9E0C"/>
  <w15:chartTrackingRefBased/>
  <w15:docId w15:val="{074E1971-243D-493A-933A-9DF22D9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559B"/>
    <w:pPr>
      <w:widowControl w:val="0"/>
      <w:wordWrap w:val="0"/>
      <w:autoSpaceDE w:val="0"/>
      <w:autoSpaceDN w:val="0"/>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7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3142</Characters>
  <Application>Microsoft Macintosh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금지원</dc:creator>
  <cp:keywords/>
  <dc:description/>
  <cp:lastModifiedBy>Elizabeth Hull</cp:lastModifiedBy>
  <cp:revision>3</cp:revision>
  <dcterms:created xsi:type="dcterms:W3CDTF">2019-05-23T09:12:00Z</dcterms:created>
  <dcterms:modified xsi:type="dcterms:W3CDTF">2019-05-23T14:40:00Z</dcterms:modified>
</cp:coreProperties>
</file>