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AF3" w:rsidRPr="00F60CF5" w:rsidRDefault="00C07306" w:rsidP="00460C30">
      <w:pPr>
        <w:jc w:val="center"/>
        <w:rPr>
          <w:b/>
        </w:rPr>
      </w:pPr>
      <w:bookmarkStart w:id="0" w:name="_GoBack"/>
      <w:r>
        <w:t>D</w:t>
      </w:r>
      <w:r w:rsidR="00412AF3">
        <w:t xml:space="preserve">ata for Vandvik et al. </w:t>
      </w:r>
      <w:r w:rsidR="00412AF3">
        <w:t>2016</w:t>
      </w:r>
      <w:r w:rsidRPr="00C07306">
        <w:t xml:space="preserve"> </w:t>
      </w:r>
      <w:proofErr w:type="spellStart"/>
      <w:r>
        <w:t>Botany</w:t>
      </w:r>
      <w:proofErr w:type="gramStart"/>
      <w:r w:rsidR="00412AF3">
        <w:t>:</w:t>
      </w:r>
      <w:r w:rsidR="00412AF3" w:rsidRPr="00F60CF5">
        <w:rPr>
          <w:b/>
        </w:rPr>
        <w:t>Seedling</w:t>
      </w:r>
      <w:proofErr w:type="spellEnd"/>
      <w:proofErr w:type="gramEnd"/>
      <w:r w:rsidR="00412AF3" w:rsidRPr="00F60CF5">
        <w:rPr>
          <w:b/>
        </w:rPr>
        <w:t xml:space="preserve"> recruitment in subalpine grassland forbs: Predicting field regeneration </w:t>
      </w:r>
      <w:proofErr w:type="spellStart"/>
      <w:r w:rsidR="00412AF3" w:rsidRPr="00F60CF5">
        <w:rPr>
          <w:b/>
        </w:rPr>
        <w:t>behaviour</w:t>
      </w:r>
      <w:proofErr w:type="spellEnd"/>
      <w:r w:rsidR="00412AF3" w:rsidRPr="00F60CF5">
        <w:rPr>
          <w:b/>
        </w:rPr>
        <w:t xml:space="preserve"> from lab germination responses</w:t>
      </w:r>
    </w:p>
    <w:p w:rsidR="00412AF3" w:rsidRDefault="00412AF3" w:rsidP="00412AF3"/>
    <w:bookmarkEnd w:id="0"/>
    <w:p w:rsidR="00412AF3" w:rsidRDefault="00412AF3" w:rsidP="00412AF3"/>
    <w:p w:rsidR="00412AF3" w:rsidRDefault="00412AF3" w:rsidP="00412AF3">
      <w:r>
        <w:t xml:space="preserve">SITE/STUDY INFO: </w:t>
      </w:r>
    </w:p>
    <w:p w:rsidR="00412AF3" w:rsidRDefault="00412AF3" w:rsidP="00412AF3"/>
    <w:p w:rsidR="00412AF3" w:rsidRPr="00940468" w:rsidRDefault="00412AF3" w:rsidP="00412AF3">
      <w:pPr>
        <w:pStyle w:val="Header"/>
        <w:tabs>
          <w:tab w:val="clear" w:pos="4536"/>
          <w:tab w:val="clear" w:pos="9072"/>
        </w:tabs>
        <w:ind w:left="57" w:right="57"/>
        <w:rPr>
          <w:i/>
          <w:iCs/>
          <w:szCs w:val="24"/>
          <w:lang w:val="en-GB"/>
        </w:rPr>
      </w:pPr>
      <w:r w:rsidRPr="00BD3931">
        <w:rPr>
          <w:iCs/>
          <w:szCs w:val="24"/>
          <w:lang w:val="en-GB"/>
        </w:rPr>
        <w:t>We studied eleven species</w:t>
      </w:r>
      <w:r w:rsidRPr="00940468">
        <w:rPr>
          <w:i/>
          <w:iCs/>
          <w:szCs w:val="24"/>
          <w:lang w:val="en-GB"/>
        </w:rPr>
        <w:t xml:space="preserve"> </w:t>
      </w:r>
      <w:r w:rsidRPr="00BD3931">
        <w:rPr>
          <w:iCs/>
          <w:szCs w:val="24"/>
          <w:lang w:val="en-GB"/>
        </w:rPr>
        <w:t>(</w:t>
      </w:r>
      <w:r w:rsidRPr="00FC1C6D">
        <w:rPr>
          <w:i/>
          <w:szCs w:val="24"/>
          <w:lang w:val="en-GB"/>
        </w:rPr>
        <w:t xml:space="preserve">Campanula </w:t>
      </w:r>
      <w:proofErr w:type="spellStart"/>
      <w:r w:rsidRPr="00FC1C6D">
        <w:rPr>
          <w:i/>
          <w:szCs w:val="24"/>
          <w:lang w:val="en-GB"/>
        </w:rPr>
        <w:t>rotundifolia</w:t>
      </w:r>
      <w:proofErr w:type="spellEnd"/>
      <w:r w:rsidRPr="00FC1C6D">
        <w:rPr>
          <w:i/>
          <w:iCs/>
          <w:szCs w:val="24"/>
          <w:lang w:val="en-GB"/>
        </w:rPr>
        <w:t xml:space="preserve"> </w:t>
      </w:r>
      <w:r w:rsidRPr="00BD3931">
        <w:rPr>
          <w:iCs/>
          <w:szCs w:val="24"/>
          <w:lang w:val="en-GB"/>
        </w:rPr>
        <w:t>L.,</w:t>
      </w:r>
      <w:r w:rsidRPr="00FC1C6D">
        <w:rPr>
          <w:i/>
          <w:iCs/>
          <w:szCs w:val="24"/>
          <w:lang w:val="en-GB"/>
        </w:rPr>
        <w:t xml:space="preserve"> </w:t>
      </w:r>
      <w:proofErr w:type="spellStart"/>
      <w:r w:rsidRPr="00FC1C6D">
        <w:rPr>
          <w:i/>
          <w:szCs w:val="24"/>
          <w:lang w:val="en-GB"/>
        </w:rPr>
        <w:t>Gentianella</w:t>
      </w:r>
      <w:proofErr w:type="spellEnd"/>
      <w:r w:rsidRPr="00FC1C6D">
        <w:rPr>
          <w:i/>
          <w:szCs w:val="24"/>
          <w:lang w:val="en-GB"/>
        </w:rPr>
        <w:t xml:space="preserve"> </w:t>
      </w:r>
      <w:proofErr w:type="spellStart"/>
      <w:r w:rsidRPr="00FC1C6D">
        <w:rPr>
          <w:i/>
          <w:szCs w:val="24"/>
          <w:lang w:val="en-GB"/>
        </w:rPr>
        <w:t>amarella</w:t>
      </w:r>
      <w:proofErr w:type="spellEnd"/>
      <w:r w:rsidRPr="00FC1C6D">
        <w:rPr>
          <w:i/>
          <w:iCs/>
          <w:szCs w:val="24"/>
          <w:lang w:val="en-GB"/>
        </w:rPr>
        <w:t xml:space="preserve"> </w:t>
      </w:r>
      <w:r w:rsidRPr="00BD3931">
        <w:rPr>
          <w:iCs/>
          <w:szCs w:val="24"/>
          <w:lang w:val="en-GB"/>
        </w:rPr>
        <w:t xml:space="preserve">L. </w:t>
      </w:r>
      <w:proofErr w:type="spellStart"/>
      <w:r w:rsidRPr="00BD3931">
        <w:rPr>
          <w:iCs/>
          <w:szCs w:val="24"/>
          <w:lang w:val="en-GB"/>
        </w:rPr>
        <w:t>Börner</w:t>
      </w:r>
      <w:proofErr w:type="spellEnd"/>
      <w:r w:rsidRPr="00BD3931">
        <w:rPr>
          <w:iCs/>
          <w:szCs w:val="24"/>
          <w:lang w:val="en-GB"/>
        </w:rPr>
        <w:t>,</w:t>
      </w:r>
      <w:r w:rsidRPr="00FC1C6D">
        <w:rPr>
          <w:i/>
          <w:iCs/>
          <w:szCs w:val="24"/>
          <w:lang w:val="en-GB"/>
        </w:rPr>
        <w:t xml:space="preserve"> </w:t>
      </w:r>
      <w:proofErr w:type="spellStart"/>
      <w:r w:rsidR="00F60CF5">
        <w:rPr>
          <w:i/>
          <w:szCs w:val="24"/>
          <w:lang w:val="en-GB"/>
        </w:rPr>
        <w:t>Gentiana</w:t>
      </w:r>
      <w:proofErr w:type="spellEnd"/>
      <w:r w:rsidR="00F60CF5">
        <w:rPr>
          <w:i/>
          <w:szCs w:val="24"/>
          <w:lang w:val="en-GB"/>
        </w:rPr>
        <w:t xml:space="preserve"> </w:t>
      </w:r>
      <w:proofErr w:type="spellStart"/>
      <w:r w:rsidR="00F60CF5">
        <w:rPr>
          <w:i/>
          <w:szCs w:val="24"/>
          <w:lang w:val="en-GB"/>
        </w:rPr>
        <w:t>nivalis</w:t>
      </w:r>
      <w:proofErr w:type="spellEnd"/>
      <w:r w:rsidR="00F60CF5">
        <w:rPr>
          <w:i/>
          <w:szCs w:val="24"/>
          <w:lang w:val="en-GB"/>
        </w:rPr>
        <w:t xml:space="preserve"> </w:t>
      </w:r>
      <w:r w:rsidR="00F60CF5">
        <w:rPr>
          <w:iCs/>
          <w:szCs w:val="24"/>
          <w:lang w:val="en-GB"/>
        </w:rPr>
        <w:t>L.</w:t>
      </w:r>
      <w:proofErr w:type="gramStart"/>
      <w:r w:rsidR="00F60CF5">
        <w:rPr>
          <w:iCs/>
          <w:szCs w:val="24"/>
          <w:lang w:val="en-GB"/>
        </w:rPr>
        <w:t xml:space="preserve">, </w:t>
      </w:r>
      <w:r w:rsidRPr="00FC1C6D">
        <w:rPr>
          <w:i/>
          <w:iCs/>
          <w:szCs w:val="24"/>
          <w:lang w:val="en-GB"/>
        </w:rPr>
        <w:t xml:space="preserve"> </w:t>
      </w:r>
      <w:r w:rsidRPr="00FC1C6D">
        <w:rPr>
          <w:i/>
          <w:szCs w:val="24"/>
          <w:lang w:val="en-GB"/>
        </w:rPr>
        <w:t>Geranium</w:t>
      </w:r>
      <w:proofErr w:type="gramEnd"/>
      <w:r w:rsidRPr="00FC1C6D">
        <w:rPr>
          <w:i/>
          <w:szCs w:val="24"/>
          <w:lang w:val="en-GB"/>
        </w:rPr>
        <w:t xml:space="preserve"> </w:t>
      </w:r>
      <w:proofErr w:type="spellStart"/>
      <w:r w:rsidRPr="00FC1C6D">
        <w:rPr>
          <w:i/>
          <w:szCs w:val="24"/>
          <w:lang w:val="en-GB"/>
        </w:rPr>
        <w:t>sylvaticum</w:t>
      </w:r>
      <w:proofErr w:type="spellEnd"/>
      <w:r w:rsidRPr="00FC1C6D">
        <w:rPr>
          <w:i/>
          <w:iCs/>
          <w:szCs w:val="24"/>
          <w:lang w:val="en-GB"/>
        </w:rPr>
        <w:t xml:space="preserve"> </w:t>
      </w:r>
      <w:r w:rsidRPr="00BD3931">
        <w:rPr>
          <w:iCs/>
          <w:szCs w:val="24"/>
          <w:lang w:val="en-GB"/>
        </w:rPr>
        <w:t>L.,</w:t>
      </w:r>
      <w:r w:rsidRPr="00FC1C6D">
        <w:rPr>
          <w:i/>
          <w:iCs/>
          <w:szCs w:val="24"/>
          <w:lang w:val="en-GB"/>
        </w:rPr>
        <w:t xml:space="preserve"> </w:t>
      </w:r>
      <w:proofErr w:type="spellStart"/>
      <w:r w:rsidRPr="00FC1C6D">
        <w:rPr>
          <w:i/>
          <w:szCs w:val="24"/>
          <w:lang w:val="en-GB"/>
        </w:rPr>
        <w:t>Knautia</w:t>
      </w:r>
      <w:proofErr w:type="spellEnd"/>
      <w:r w:rsidRPr="00FC1C6D">
        <w:rPr>
          <w:i/>
          <w:szCs w:val="24"/>
          <w:lang w:val="en-GB"/>
        </w:rPr>
        <w:t xml:space="preserve"> </w:t>
      </w:r>
      <w:proofErr w:type="spellStart"/>
      <w:r w:rsidRPr="00FC1C6D">
        <w:rPr>
          <w:i/>
          <w:szCs w:val="24"/>
          <w:lang w:val="en-GB"/>
        </w:rPr>
        <w:t>arvensis</w:t>
      </w:r>
      <w:proofErr w:type="spellEnd"/>
      <w:r w:rsidRPr="00FC1C6D">
        <w:rPr>
          <w:i/>
          <w:iCs/>
          <w:szCs w:val="24"/>
          <w:lang w:val="en-GB"/>
        </w:rPr>
        <w:t xml:space="preserve"> </w:t>
      </w:r>
      <w:proofErr w:type="spellStart"/>
      <w:r w:rsidRPr="00BD3931">
        <w:rPr>
          <w:iCs/>
          <w:szCs w:val="24"/>
          <w:lang w:val="en-GB"/>
        </w:rPr>
        <w:t>Coult</w:t>
      </w:r>
      <w:proofErr w:type="spellEnd"/>
      <w:r w:rsidRPr="00BD3931">
        <w:rPr>
          <w:iCs/>
          <w:szCs w:val="24"/>
          <w:lang w:val="en-GB"/>
        </w:rPr>
        <w:t>.,</w:t>
      </w:r>
      <w:r w:rsidRPr="00FC1C6D">
        <w:rPr>
          <w:i/>
          <w:iCs/>
          <w:szCs w:val="24"/>
          <w:lang w:val="en-GB"/>
        </w:rPr>
        <w:t xml:space="preserve"> </w:t>
      </w:r>
      <w:proofErr w:type="spellStart"/>
      <w:r w:rsidRPr="00FC1C6D">
        <w:rPr>
          <w:i/>
          <w:szCs w:val="24"/>
          <w:lang w:val="en-GB"/>
        </w:rPr>
        <w:t>Potentilla</w:t>
      </w:r>
      <w:proofErr w:type="spellEnd"/>
      <w:r w:rsidRPr="00FC1C6D">
        <w:rPr>
          <w:i/>
          <w:szCs w:val="24"/>
          <w:lang w:val="en-GB"/>
        </w:rPr>
        <w:t xml:space="preserve"> </w:t>
      </w:r>
      <w:proofErr w:type="spellStart"/>
      <w:r w:rsidRPr="00FC1C6D">
        <w:rPr>
          <w:i/>
          <w:szCs w:val="24"/>
          <w:lang w:val="en-GB"/>
        </w:rPr>
        <w:t>crantzii</w:t>
      </w:r>
      <w:proofErr w:type="spellEnd"/>
      <w:r w:rsidRPr="00FC1C6D">
        <w:rPr>
          <w:i/>
          <w:iCs/>
          <w:szCs w:val="24"/>
          <w:lang w:val="en-GB"/>
        </w:rPr>
        <w:t xml:space="preserve"> </w:t>
      </w:r>
      <w:proofErr w:type="spellStart"/>
      <w:r w:rsidRPr="00BD3931">
        <w:rPr>
          <w:iCs/>
          <w:szCs w:val="24"/>
          <w:lang w:val="en-GB"/>
        </w:rPr>
        <w:t>Crantz</w:t>
      </w:r>
      <w:proofErr w:type="spellEnd"/>
      <w:r w:rsidRPr="00BD3931">
        <w:rPr>
          <w:iCs/>
          <w:szCs w:val="24"/>
          <w:lang w:val="en-GB"/>
        </w:rPr>
        <w:t xml:space="preserve">. </w:t>
      </w:r>
      <w:proofErr w:type="gramStart"/>
      <w:r w:rsidRPr="00BD3931">
        <w:rPr>
          <w:iCs/>
          <w:szCs w:val="24"/>
          <w:lang w:val="en-GB"/>
        </w:rPr>
        <w:t>Fritsch,</w:t>
      </w:r>
      <w:r w:rsidRPr="00FC1C6D">
        <w:rPr>
          <w:i/>
          <w:iCs/>
          <w:szCs w:val="24"/>
          <w:lang w:val="en-GB"/>
        </w:rPr>
        <w:t xml:space="preserve"> </w:t>
      </w:r>
      <w:r w:rsidRPr="00FC1C6D">
        <w:rPr>
          <w:i/>
          <w:szCs w:val="24"/>
          <w:lang w:val="en-GB"/>
        </w:rPr>
        <w:t xml:space="preserve">Primula </w:t>
      </w:r>
      <w:proofErr w:type="spellStart"/>
      <w:r w:rsidRPr="00FC1C6D">
        <w:rPr>
          <w:i/>
          <w:szCs w:val="24"/>
          <w:lang w:val="en-GB"/>
        </w:rPr>
        <w:t>scandinavica</w:t>
      </w:r>
      <w:proofErr w:type="spellEnd"/>
      <w:r w:rsidRPr="00FC1C6D">
        <w:rPr>
          <w:i/>
          <w:iCs/>
          <w:szCs w:val="24"/>
          <w:lang w:val="en-GB"/>
        </w:rPr>
        <w:t xml:space="preserve"> </w:t>
      </w:r>
      <w:proofErr w:type="spellStart"/>
      <w:r w:rsidRPr="00BD3931">
        <w:rPr>
          <w:iCs/>
          <w:szCs w:val="24"/>
          <w:lang w:val="en-GB"/>
        </w:rPr>
        <w:t>Brunn</w:t>
      </w:r>
      <w:proofErr w:type="spellEnd"/>
      <w:r w:rsidRPr="00BD3931">
        <w:rPr>
          <w:iCs/>
          <w:szCs w:val="24"/>
          <w:lang w:val="en-GB"/>
        </w:rPr>
        <w:t>,</w:t>
      </w:r>
      <w:r w:rsidRPr="00940468">
        <w:rPr>
          <w:i/>
          <w:iCs/>
          <w:szCs w:val="24"/>
          <w:lang w:val="en-GB"/>
        </w:rPr>
        <w:t xml:space="preserve"> </w:t>
      </w:r>
      <w:proofErr w:type="spellStart"/>
      <w:r w:rsidRPr="00FC1C6D">
        <w:rPr>
          <w:i/>
          <w:szCs w:val="24"/>
          <w:lang w:val="en-GB"/>
        </w:rPr>
        <w:t>Ranunculus</w:t>
      </w:r>
      <w:proofErr w:type="spellEnd"/>
      <w:r w:rsidRPr="00FC1C6D">
        <w:rPr>
          <w:i/>
          <w:szCs w:val="24"/>
          <w:lang w:val="en-GB"/>
        </w:rPr>
        <w:t xml:space="preserve"> </w:t>
      </w:r>
      <w:proofErr w:type="spellStart"/>
      <w:r w:rsidRPr="00FC1C6D">
        <w:rPr>
          <w:i/>
          <w:szCs w:val="24"/>
          <w:lang w:val="en-GB"/>
        </w:rPr>
        <w:t>platanifolius</w:t>
      </w:r>
      <w:proofErr w:type="spellEnd"/>
      <w:r w:rsidRPr="00FC1C6D">
        <w:rPr>
          <w:i/>
          <w:iCs/>
          <w:szCs w:val="24"/>
          <w:lang w:val="en-GB"/>
        </w:rPr>
        <w:t xml:space="preserve"> </w:t>
      </w:r>
      <w:r w:rsidRPr="00BD3931">
        <w:rPr>
          <w:iCs/>
          <w:szCs w:val="24"/>
          <w:lang w:val="en-GB"/>
        </w:rPr>
        <w:t>L.,</w:t>
      </w:r>
      <w:r w:rsidRPr="00FC1C6D">
        <w:rPr>
          <w:i/>
          <w:iCs/>
          <w:szCs w:val="24"/>
          <w:lang w:val="en-GB"/>
        </w:rPr>
        <w:t xml:space="preserve"> </w:t>
      </w:r>
      <w:proofErr w:type="spellStart"/>
      <w:r w:rsidRPr="00FC1C6D">
        <w:rPr>
          <w:i/>
          <w:szCs w:val="24"/>
          <w:lang w:val="en-GB"/>
        </w:rPr>
        <w:t>Trollius</w:t>
      </w:r>
      <w:proofErr w:type="spellEnd"/>
      <w:r w:rsidRPr="00FC1C6D">
        <w:rPr>
          <w:i/>
          <w:szCs w:val="24"/>
          <w:lang w:val="en-GB"/>
        </w:rPr>
        <w:t xml:space="preserve"> </w:t>
      </w:r>
      <w:proofErr w:type="spellStart"/>
      <w:r w:rsidRPr="00FC1C6D">
        <w:rPr>
          <w:i/>
          <w:szCs w:val="24"/>
          <w:lang w:val="en-GB"/>
        </w:rPr>
        <w:t>europaeus</w:t>
      </w:r>
      <w:proofErr w:type="spellEnd"/>
      <w:r w:rsidRPr="00FC1C6D">
        <w:rPr>
          <w:i/>
          <w:iCs/>
          <w:szCs w:val="24"/>
          <w:lang w:val="en-GB"/>
        </w:rPr>
        <w:t xml:space="preserve"> </w:t>
      </w:r>
      <w:r w:rsidRPr="00BD3931">
        <w:rPr>
          <w:iCs/>
          <w:szCs w:val="24"/>
          <w:lang w:val="en-GB"/>
        </w:rPr>
        <w:t>L.,</w:t>
      </w:r>
      <w:r w:rsidRPr="00FC1C6D">
        <w:rPr>
          <w:i/>
          <w:iCs/>
          <w:szCs w:val="24"/>
          <w:lang w:val="en-GB"/>
        </w:rPr>
        <w:t xml:space="preserve"> </w:t>
      </w:r>
      <w:r w:rsidRPr="00FC1C6D">
        <w:rPr>
          <w:i/>
          <w:szCs w:val="24"/>
          <w:lang w:val="en-GB"/>
        </w:rPr>
        <w:t xml:space="preserve">Veronica </w:t>
      </w:r>
      <w:proofErr w:type="spellStart"/>
      <w:r w:rsidRPr="00FC1C6D">
        <w:rPr>
          <w:i/>
          <w:szCs w:val="24"/>
          <w:lang w:val="en-GB"/>
        </w:rPr>
        <w:t>alpina</w:t>
      </w:r>
      <w:proofErr w:type="spellEnd"/>
      <w:r w:rsidRPr="00FC1C6D">
        <w:rPr>
          <w:i/>
          <w:iCs/>
          <w:szCs w:val="24"/>
          <w:lang w:val="en-GB"/>
        </w:rPr>
        <w:t xml:space="preserve"> </w:t>
      </w:r>
      <w:r w:rsidRPr="00BD3931">
        <w:rPr>
          <w:iCs/>
          <w:szCs w:val="24"/>
          <w:lang w:val="en-GB"/>
        </w:rPr>
        <w:t>L.,</w:t>
      </w:r>
      <w:r w:rsidRPr="00FC1C6D">
        <w:rPr>
          <w:i/>
          <w:iCs/>
          <w:szCs w:val="24"/>
          <w:lang w:val="en-GB"/>
        </w:rPr>
        <w:t xml:space="preserve"> </w:t>
      </w:r>
      <w:r w:rsidRPr="00BD3931">
        <w:rPr>
          <w:iCs/>
          <w:szCs w:val="24"/>
          <w:lang w:val="en-GB"/>
        </w:rPr>
        <w:t>and</w:t>
      </w:r>
      <w:r w:rsidRPr="00FC1C6D">
        <w:rPr>
          <w:i/>
          <w:iCs/>
          <w:szCs w:val="24"/>
          <w:lang w:val="en-GB"/>
        </w:rPr>
        <w:t xml:space="preserve"> </w:t>
      </w:r>
      <w:r w:rsidRPr="00FC1C6D">
        <w:rPr>
          <w:i/>
          <w:szCs w:val="24"/>
          <w:lang w:val="en-GB"/>
        </w:rPr>
        <w:t xml:space="preserve">Viola </w:t>
      </w:r>
      <w:proofErr w:type="spellStart"/>
      <w:r w:rsidRPr="00FC1C6D">
        <w:rPr>
          <w:i/>
          <w:szCs w:val="24"/>
          <w:lang w:val="en-GB"/>
        </w:rPr>
        <w:t>biflora</w:t>
      </w:r>
      <w:proofErr w:type="spellEnd"/>
      <w:r w:rsidRPr="00FC1C6D">
        <w:rPr>
          <w:i/>
          <w:iCs/>
          <w:szCs w:val="24"/>
          <w:lang w:val="en-GB"/>
        </w:rPr>
        <w:t xml:space="preserve"> </w:t>
      </w:r>
      <w:r w:rsidRPr="00BD3931">
        <w:rPr>
          <w:iCs/>
          <w:szCs w:val="24"/>
          <w:lang w:val="en-GB"/>
        </w:rPr>
        <w:t>L.)</w:t>
      </w:r>
      <w:proofErr w:type="gramEnd"/>
      <w:r w:rsidRPr="00940468">
        <w:rPr>
          <w:i/>
          <w:iCs/>
          <w:szCs w:val="24"/>
          <w:lang w:val="en-GB"/>
        </w:rPr>
        <w:t xml:space="preserve"> </w:t>
      </w:r>
      <w:proofErr w:type="gramStart"/>
      <w:r w:rsidRPr="00BD3931">
        <w:rPr>
          <w:iCs/>
          <w:szCs w:val="24"/>
          <w:lang w:val="en-GB"/>
        </w:rPr>
        <w:t>that</w:t>
      </w:r>
      <w:proofErr w:type="gramEnd"/>
      <w:r w:rsidRPr="00BD3931">
        <w:rPr>
          <w:iCs/>
          <w:szCs w:val="24"/>
          <w:lang w:val="en-GB"/>
        </w:rPr>
        <w:t xml:space="preserve"> co-occur within perennial </w:t>
      </w:r>
      <w:r>
        <w:rPr>
          <w:iCs/>
          <w:szCs w:val="24"/>
          <w:lang w:val="en-GB"/>
        </w:rPr>
        <w:t xml:space="preserve">subalpine </w:t>
      </w:r>
      <w:r w:rsidRPr="00BD3931">
        <w:rPr>
          <w:iCs/>
          <w:szCs w:val="24"/>
          <w:lang w:val="en-GB"/>
        </w:rPr>
        <w:t>grasslands in the study area (nomenclature follows the International Plant Names Index (</w:t>
      </w:r>
      <w:hyperlink r:id="rId7" w:history="1">
        <w:r w:rsidRPr="00BD3931">
          <w:rPr>
            <w:rStyle w:val="Hyperlink"/>
            <w:rFonts w:eastAsia="Calibri"/>
            <w:iCs/>
            <w:lang w:val="en-GB"/>
          </w:rPr>
          <w:t>www.ipni.org/index.html</w:t>
        </w:r>
      </w:hyperlink>
      <w:r w:rsidRPr="00BD3931">
        <w:rPr>
          <w:iCs/>
          <w:szCs w:val="24"/>
          <w:lang w:val="en-GB"/>
        </w:rPr>
        <w:t>). The species were selected to</w:t>
      </w:r>
      <w:r>
        <w:rPr>
          <w:iCs/>
          <w:szCs w:val="24"/>
          <w:lang w:val="en-GB"/>
        </w:rPr>
        <w:t xml:space="preserve"> </w:t>
      </w:r>
      <w:r w:rsidRPr="00BD3931">
        <w:rPr>
          <w:iCs/>
          <w:szCs w:val="24"/>
          <w:lang w:val="en-GB"/>
        </w:rPr>
        <w:t>represent a range in seed mass, life histories (</w:t>
      </w:r>
      <w:r>
        <w:rPr>
          <w:iCs/>
          <w:szCs w:val="24"/>
          <w:lang w:val="en-GB"/>
        </w:rPr>
        <w:t>annual/</w:t>
      </w:r>
      <w:r w:rsidRPr="00BD3931">
        <w:rPr>
          <w:iCs/>
          <w:szCs w:val="24"/>
          <w:lang w:val="en-GB"/>
        </w:rPr>
        <w:t xml:space="preserve">biennial to long-lived clonal perennial), </w:t>
      </w:r>
      <w:r>
        <w:rPr>
          <w:iCs/>
          <w:szCs w:val="24"/>
          <w:lang w:val="en-GB"/>
        </w:rPr>
        <w:t xml:space="preserve">seed dormancy classes (physical, physiological, </w:t>
      </w:r>
      <w:proofErr w:type="spellStart"/>
      <w:r>
        <w:rPr>
          <w:iCs/>
          <w:szCs w:val="24"/>
          <w:lang w:val="en-GB"/>
        </w:rPr>
        <w:t>morphophysiological</w:t>
      </w:r>
      <w:proofErr w:type="spellEnd"/>
      <w:r>
        <w:rPr>
          <w:iCs/>
          <w:szCs w:val="24"/>
          <w:lang w:val="en-GB"/>
        </w:rPr>
        <w:t xml:space="preserve">), </w:t>
      </w:r>
      <w:r w:rsidRPr="00BD3931">
        <w:rPr>
          <w:iCs/>
          <w:szCs w:val="24"/>
          <w:lang w:val="en-GB"/>
        </w:rPr>
        <w:t>established plant size, distributional patterns (alpine, lowland, or ubiquitous), regional abundances (scattered or common), habitat preferences (strictly grassland or generalist), bedr</w:t>
      </w:r>
      <w:r w:rsidRPr="00727FAC">
        <w:rPr>
          <w:iCs/>
          <w:szCs w:val="24"/>
          <w:lang w:val="en-GB"/>
        </w:rPr>
        <w:t>ock requirements (basic vs. indifferent), and soil fertility requirements (low or high) (</w:t>
      </w:r>
      <w:r>
        <w:rPr>
          <w:iCs/>
          <w:szCs w:val="24"/>
          <w:lang w:val="en-GB"/>
        </w:rPr>
        <w:t xml:space="preserve">based on data from </w:t>
      </w:r>
      <w:r w:rsidRPr="00727FAC">
        <w:rPr>
          <w:iCs/>
          <w:szCs w:val="24"/>
          <w:lang w:val="en-GB"/>
        </w:rPr>
        <w:t>Lid and Lid, 2005</w:t>
      </w:r>
      <w:r>
        <w:rPr>
          <w:iCs/>
          <w:szCs w:val="24"/>
          <w:lang w:val="en-GB"/>
        </w:rPr>
        <w:t xml:space="preserve">; see </w:t>
      </w:r>
      <w:r w:rsidRPr="0069790D">
        <w:rPr>
          <w:iCs/>
          <w:szCs w:val="24"/>
          <w:lang w:val="en-GB"/>
        </w:rPr>
        <w:t>Table 1</w:t>
      </w:r>
      <w:r>
        <w:rPr>
          <w:iCs/>
          <w:szCs w:val="24"/>
          <w:lang w:val="en-GB"/>
        </w:rPr>
        <w:t xml:space="preserve"> in Vandvik </w:t>
      </w:r>
      <w:r w:rsidRPr="00412AF3">
        <w:rPr>
          <w:i/>
          <w:iCs/>
          <w:szCs w:val="24"/>
          <w:lang w:val="en-GB"/>
        </w:rPr>
        <w:t>et al.</w:t>
      </w:r>
      <w:r>
        <w:rPr>
          <w:iCs/>
          <w:szCs w:val="24"/>
          <w:lang w:val="en-GB"/>
        </w:rPr>
        <w:t xml:space="preserve"> 2016</w:t>
      </w:r>
      <w:r w:rsidRPr="0069790D">
        <w:rPr>
          <w:iCs/>
          <w:szCs w:val="24"/>
          <w:lang w:val="en-GB"/>
        </w:rPr>
        <w:t>).</w:t>
      </w:r>
      <w:r w:rsidRPr="00940468">
        <w:rPr>
          <w:i/>
          <w:iCs/>
          <w:szCs w:val="24"/>
          <w:lang w:val="en-GB"/>
        </w:rPr>
        <w:t xml:space="preserve"> </w:t>
      </w:r>
    </w:p>
    <w:p w:rsidR="00412AF3" w:rsidRPr="00940468" w:rsidRDefault="00412AF3" w:rsidP="00412AF3">
      <w:pPr>
        <w:ind w:left="57" w:right="57" w:firstLine="709"/>
      </w:pPr>
      <w:r w:rsidRPr="00940468">
        <w:t xml:space="preserve">Seeds (the whole single-seeded fruits of </w:t>
      </w:r>
      <w:proofErr w:type="spellStart"/>
      <w:r w:rsidRPr="00940468">
        <w:rPr>
          <w:i/>
          <w:iCs/>
        </w:rPr>
        <w:t>Knautia</w:t>
      </w:r>
      <w:proofErr w:type="spellEnd"/>
      <w:r w:rsidRPr="00940468">
        <w:rPr>
          <w:i/>
          <w:iCs/>
        </w:rPr>
        <w:t xml:space="preserve"> </w:t>
      </w:r>
      <w:proofErr w:type="spellStart"/>
      <w:r w:rsidRPr="00940468">
        <w:rPr>
          <w:i/>
          <w:iCs/>
        </w:rPr>
        <w:t>arvensis</w:t>
      </w:r>
      <w:proofErr w:type="spellEnd"/>
      <w:r w:rsidRPr="00940468">
        <w:rPr>
          <w:i/>
          <w:iCs/>
        </w:rPr>
        <w:t xml:space="preserve"> </w:t>
      </w:r>
      <w:r w:rsidRPr="00940468">
        <w:t>and</w:t>
      </w:r>
      <w:r w:rsidRPr="00940468">
        <w:rPr>
          <w:i/>
          <w:iCs/>
        </w:rPr>
        <w:t xml:space="preserve"> Ranunculus </w:t>
      </w:r>
      <w:proofErr w:type="spellStart"/>
      <w:r w:rsidRPr="00940468">
        <w:rPr>
          <w:i/>
          <w:iCs/>
        </w:rPr>
        <w:t>platanifolius</w:t>
      </w:r>
      <w:proofErr w:type="spellEnd"/>
      <w:r w:rsidRPr="00940468">
        <w:t xml:space="preserve"> are denoted as seeds hereafter) were collected during the summer of 1998</w:t>
      </w:r>
      <w:r>
        <w:t xml:space="preserve"> from </w:t>
      </w:r>
      <w:r w:rsidRPr="00940468">
        <w:t>perennial grassland</w:t>
      </w:r>
      <w:r>
        <w:t xml:space="preserve">s, all </w:t>
      </w:r>
      <w:r w:rsidRPr="00940468">
        <w:t xml:space="preserve">within 150 km of </w:t>
      </w:r>
      <w:r>
        <w:t>the field experimental site</w:t>
      </w:r>
      <w:r w:rsidRPr="00940468">
        <w:t xml:space="preserve"> </w:t>
      </w:r>
      <w:r>
        <w:t xml:space="preserve">(see below) </w:t>
      </w:r>
      <w:r w:rsidRPr="00940468">
        <w:t xml:space="preserve">and at 700-1000 </w:t>
      </w:r>
      <w:proofErr w:type="spellStart"/>
      <w:r w:rsidRPr="00940468">
        <w:t>metres</w:t>
      </w:r>
      <w:proofErr w:type="spellEnd"/>
      <w:r w:rsidRPr="00940468">
        <w:t xml:space="preserve"> above sea level. Only ripe and undamaged seeds were used</w:t>
      </w:r>
      <w:r>
        <w:t xml:space="preserve">, and these were </w:t>
      </w:r>
      <w:r w:rsidRPr="00940468">
        <w:t>air-dried at room temperature, and</w:t>
      </w:r>
      <w:r>
        <w:t>,</w:t>
      </w:r>
      <w:r w:rsidRPr="00940468">
        <w:t xml:space="preserve"> </w:t>
      </w:r>
      <w:r>
        <w:t xml:space="preserve">to obtain enough seeds per sample for both the field and laboratory experiments, </w:t>
      </w:r>
      <w:r w:rsidRPr="00940468">
        <w:t>combined in bulk samples, each containing seeds from 1</w:t>
      </w:r>
      <w:r>
        <w:t>-4</w:t>
      </w:r>
      <w:r w:rsidRPr="00940468">
        <w:t xml:space="preserve"> different localities, and from at least 50 mother plants.</w:t>
      </w:r>
      <w:r>
        <w:t xml:space="preserve"> This implies that our results should be interpreted as species-level responses, with no information about population or individual-level variation. </w:t>
      </w:r>
      <w:r w:rsidRPr="00940468">
        <w:t>For the field germination experiment, 20 batches of 100 seeds were prepared and sown within two weeks from collection (see below). The remaining seeds were stored dry in paper bags at 4</w:t>
      </w:r>
      <w:r>
        <w:t>ºC</w:t>
      </w:r>
      <w:r w:rsidRPr="00940468">
        <w:t xml:space="preserve"> until batches of 50 apparently ripe and undamaged seeds were placed on moist filter paper in a 100 mm seal-tight </w:t>
      </w:r>
      <w:r>
        <w:t>P</w:t>
      </w:r>
      <w:r w:rsidRPr="00940468">
        <w:t xml:space="preserve">etri dish for the </w:t>
      </w:r>
      <w:r>
        <w:t>lab</w:t>
      </w:r>
      <w:r w:rsidRPr="00940468">
        <w:t xml:space="preserve"> experiments.</w:t>
      </w:r>
    </w:p>
    <w:p w:rsidR="00460C30" w:rsidRDefault="00460C30" w:rsidP="00460C30">
      <w:pPr>
        <w:pStyle w:val="Header"/>
        <w:tabs>
          <w:tab w:val="clear" w:pos="4536"/>
          <w:tab w:val="clear" w:pos="9072"/>
        </w:tabs>
        <w:spacing w:line="480" w:lineRule="auto"/>
        <w:ind w:right="57"/>
        <w:rPr>
          <w:i/>
          <w:szCs w:val="24"/>
          <w:lang w:val="en-GB"/>
        </w:rPr>
      </w:pPr>
    </w:p>
    <w:p w:rsidR="00460C30" w:rsidRPr="00487795" w:rsidRDefault="00460C30" w:rsidP="0014200A">
      <w:pPr>
        <w:pStyle w:val="Header"/>
        <w:numPr>
          <w:ilvl w:val="0"/>
          <w:numId w:val="1"/>
        </w:numPr>
        <w:tabs>
          <w:tab w:val="clear" w:pos="4536"/>
          <w:tab w:val="clear" w:pos="9072"/>
        </w:tabs>
        <w:spacing w:line="480" w:lineRule="auto"/>
        <w:ind w:right="57"/>
        <w:rPr>
          <w:i/>
          <w:szCs w:val="24"/>
          <w:lang w:val="en-GB"/>
        </w:rPr>
      </w:pPr>
      <w:r w:rsidRPr="00487795">
        <w:rPr>
          <w:i/>
          <w:szCs w:val="24"/>
          <w:lang w:val="en-GB"/>
        </w:rPr>
        <w:t xml:space="preserve">Lab germination experiments </w:t>
      </w:r>
    </w:p>
    <w:p w:rsidR="00460C30" w:rsidRDefault="00412AF3" w:rsidP="00460C30">
      <w:pPr>
        <w:ind w:left="57" w:right="57"/>
      </w:pPr>
      <w:r>
        <w:t>The germination data (Vandvik_Germination.csv) reports on a laboratory experiment to assess s</w:t>
      </w:r>
      <w:r w:rsidRPr="00AF51A0">
        <w:t>eed germination requirements</w:t>
      </w:r>
      <w:r>
        <w:t xml:space="preserve">. Seeds </w:t>
      </w:r>
      <w:r w:rsidRPr="00AF51A0">
        <w:t xml:space="preserve">were tested in four growth-chamber experiments, investigating the effect of </w:t>
      </w:r>
      <w:r>
        <w:t>(A)</w:t>
      </w:r>
      <w:r w:rsidRPr="00AF51A0">
        <w:t xml:space="preserve"> light and temperature, and </w:t>
      </w:r>
      <w:r>
        <w:t>(B)</w:t>
      </w:r>
      <w:r w:rsidRPr="00AF51A0">
        <w:t xml:space="preserve"> fluctuating temperatures, </w:t>
      </w:r>
      <w:r>
        <w:t>(C)</w:t>
      </w:r>
      <w:r w:rsidRPr="00AF51A0">
        <w:t xml:space="preserve"> </w:t>
      </w:r>
      <w:r>
        <w:t xml:space="preserve">a moist chilling pre-treatment (cold-stratification </w:t>
      </w:r>
      <w:proofErr w:type="spellStart"/>
      <w:r w:rsidRPr="00634942">
        <w:rPr>
          <w:i/>
        </w:rPr>
        <w:t>sensu</w:t>
      </w:r>
      <w:proofErr w:type="spellEnd"/>
      <w:r>
        <w:t xml:space="preserve"> Baskin and Baskin 2014)</w:t>
      </w:r>
      <w:r w:rsidRPr="00AF51A0">
        <w:t xml:space="preserve">, and </w:t>
      </w:r>
      <w:r>
        <w:t>(D)</w:t>
      </w:r>
      <w:r w:rsidRPr="00AF51A0">
        <w:t xml:space="preserve"> dormancy breaking by means of gibberellic acid, GA</w:t>
      </w:r>
      <w:r w:rsidRPr="00AF51A0">
        <w:rPr>
          <w:vertAlign w:val="subscript"/>
        </w:rPr>
        <w:t>3</w:t>
      </w:r>
      <w:r w:rsidRPr="00AF51A0">
        <w:t xml:space="preserve">. </w:t>
      </w:r>
    </w:p>
    <w:p w:rsidR="00412AF3" w:rsidRDefault="00412AF3" w:rsidP="00460C30">
      <w:pPr>
        <w:ind w:left="57" w:right="57" w:firstLine="651"/>
      </w:pPr>
      <w:r w:rsidRPr="00940468">
        <w:t>Light treatments were full light, using standard artificial greenhouse light for a photoperiod of 16</w:t>
      </w:r>
      <w:r>
        <w:t xml:space="preserve"> hours</w:t>
      </w:r>
      <w:r w:rsidRPr="00940468">
        <w:t xml:space="preserve"> per day</w:t>
      </w:r>
      <w:r>
        <w:t xml:space="preserve"> to match summer light conditions at our latitude</w:t>
      </w:r>
      <w:r w:rsidRPr="00940468">
        <w:t xml:space="preserve">, or darkness. Petri dishes receiving dark treatment were wrapped individually in two layers of </w:t>
      </w:r>
      <w:proofErr w:type="spellStart"/>
      <w:r w:rsidRPr="00940468">
        <w:t>aluminium</w:t>
      </w:r>
      <w:proofErr w:type="spellEnd"/>
      <w:r w:rsidRPr="00940468">
        <w:t xml:space="preserve"> foil, and these were opened and counted under a safe green light (&lt;</w:t>
      </w:r>
      <w:r>
        <w:t xml:space="preserve"> </w:t>
      </w:r>
      <w:r w:rsidRPr="00940468">
        <w:t>0.05</w:t>
      </w:r>
      <w:r>
        <w:t xml:space="preserve"> </w:t>
      </w:r>
      <w:proofErr w:type="spellStart"/>
      <w:r w:rsidRPr="00940468">
        <w:t>μmol</w:t>
      </w:r>
      <w:proofErr w:type="spellEnd"/>
      <w:r w:rsidRPr="00940468">
        <w:t>/m</w:t>
      </w:r>
      <w:r w:rsidRPr="00940468">
        <w:rPr>
          <w:vertAlign w:val="superscript"/>
        </w:rPr>
        <w:t>2</w:t>
      </w:r>
      <w:r w:rsidRPr="00940468">
        <w:t xml:space="preserve">s). </w:t>
      </w:r>
    </w:p>
    <w:p w:rsidR="00412AF3" w:rsidRDefault="00412AF3" w:rsidP="00412AF3">
      <w:pPr>
        <w:ind w:left="57" w:right="57" w:firstLine="709"/>
        <w:rPr>
          <w:i/>
          <w:iCs/>
        </w:rPr>
      </w:pPr>
      <w:r w:rsidRPr="00940468">
        <w:t xml:space="preserve">In experiments </w:t>
      </w:r>
      <w:r>
        <w:t>(A)</w:t>
      </w:r>
      <w:r w:rsidRPr="00940468">
        <w:t xml:space="preserve"> and </w:t>
      </w:r>
      <w:r>
        <w:t>(B)</w:t>
      </w:r>
      <w:r w:rsidRPr="00940468">
        <w:t>, four constant temperature regimes (10</w:t>
      </w:r>
      <w:r>
        <w:t>ºC</w:t>
      </w:r>
      <w:r w:rsidRPr="00940468">
        <w:t>, 15</w:t>
      </w:r>
      <w:r>
        <w:t>ºC</w:t>
      </w:r>
      <w:r w:rsidRPr="00940468">
        <w:t>, 20</w:t>
      </w:r>
      <w:r>
        <w:t>ºC</w:t>
      </w:r>
      <w:r w:rsidRPr="00940468">
        <w:t xml:space="preserve"> and 25</w:t>
      </w:r>
      <w:r>
        <w:t>ºC</w:t>
      </w:r>
      <w:r w:rsidRPr="00940468">
        <w:t>) and a diurnal cycle (16</w:t>
      </w:r>
      <w:r>
        <w:t xml:space="preserve"> hours</w:t>
      </w:r>
      <w:r w:rsidRPr="00940468">
        <w:t xml:space="preserve"> at 25</w:t>
      </w:r>
      <w:r>
        <w:t>ºC</w:t>
      </w:r>
      <w:r w:rsidRPr="00940468">
        <w:t xml:space="preserve"> and 8</w:t>
      </w:r>
      <w:r>
        <w:t xml:space="preserve"> hours</w:t>
      </w:r>
      <w:r w:rsidRPr="00940468">
        <w:t xml:space="preserve"> at 10</w:t>
      </w:r>
      <w:r>
        <w:t>ºC</w:t>
      </w:r>
      <w:r w:rsidRPr="00940468">
        <w:t>) were compared</w:t>
      </w:r>
      <w:r>
        <w:t xml:space="preserve"> in light and darkness</w:t>
      </w:r>
      <w:r w:rsidRPr="00940468">
        <w:t>. The 24</w:t>
      </w:r>
      <w:r>
        <w:t>-hour</w:t>
      </w:r>
      <w:r w:rsidRPr="00940468">
        <w:t xml:space="preserve"> temperature sums of the 20</w:t>
      </w:r>
      <w:r>
        <w:t>ºC</w:t>
      </w:r>
      <w:r w:rsidRPr="00940468">
        <w:t xml:space="preserve"> and 25/10</w:t>
      </w:r>
      <w:r>
        <w:t>ºC</w:t>
      </w:r>
      <w:r w:rsidRPr="00940468">
        <w:t xml:space="preserve"> treatments are identical; by testing germination responses to fluctuating temperature against germination at 20</w:t>
      </w:r>
      <w:r>
        <w:t>ºC</w:t>
      </w:r>
      <w:r w:rsidRPr="00940468">
        <w:t xml:space="preserve"> we investigate the effect of the diurnal variation </w:t>
      </w:r>
      <w:r w:rsidRPr="00940468">
        <w:rPr>
          <w:i/>
          <w:iCs/>
        </w:rPr>
        <w:t xml:space="preserve">per se. </w:t>
      </w:r>
    </w:p>
    <w:p w:rsidR="00412AF3" w:rsidRDefault="00412AF3" w:rsidP="00412AF3">
      <w:pPr>
        <w:ind w:left="57" w:right="57" w:firstLine="709"/>
      </w:pPr>
      <w:r w:rsidRPr="00AF51A0">
        <w:lastRenderedPageBreak/>
        <w:t xml:space="preserve">Seeds were </w:t>
      </w:r>
      <w:r>
        <w:t>subjected to moist chilling</w:t>
      </w:r>
      <w:r w:rsidRPr="00AF51A0">
        <w:t xml:space="preserve"> in darkness at 4</w:t>
      </w:r>
      <w:r>
        <w:t>ºC</w:t>
      </w:r>
      <w:r w:rsidRPr="00AF51A0">
        <w:t xml:space="preserve"> </w:t>
      </w:r>
      <w:r>
        <w:t xml:space="preserve">in a moist environment (achieved by keeping the filter paper moist and sealing the petri dishes, ensuring access to free water) </w:t>
      </w:r>
      <w:r w:rsidRPr="00AF51A0">
        <w:t xml:space="preserve">for two months prior to experiments </w:t>
      </w:r>
      <w:r>
        <w:t>(A)</w:t>
      </w:r>
      <w:r w:rsidRPr="00AF51A0">
        <w:t xml:space="preserve"> and </w:t>
      </w:r>
      <w:r>
        <w:t>(B)</w:t>
      </w:r>
      <w:r w:rsidRPr="00AF51A0">
        <w:t xml:space="preserve">, and germinability in seed batches </w:t>
      </w:r>
      <w:r>
        <w:t>not subjected to the moist chilling pre-treatment (C)</w:t>
      </w:r>
      <w:r w:rsidRPr="00AF51A0">
        <w:t xml:space="preserve"> was included to quantify dormancy levels in fresh seeds (</w:t>
      </w:r>
      <w:r w:rsidRPr="007867CD">
        <w:t xml:space="preserve">Grime </w:t>
      </w:r>
      <w:r w:rsidRPr="00AA7D69">
        <w:rPr>
          <w:i/>
          <w:iCs/>
        </w:rPr>
        <w:t>et al.,</w:t>
      </w:r>
      <w:r w:rsidRPr="007867CD">
        <w:t xml:space="preserve"> 1981</w:t>
      </w:r>
      <w:r>
        <w:t>;</w:t>
      </w:r>
      <w:r w:rsidRPr="00AF51A0">
        <w:t xml:space="preserve"> Baskin and Baskin</w:t>
      </w:r>
      <w:r>
        <w:t>,</w:t>
      </w:r>
      <w:r w:rsidRPr="00AF51A0">
        <w:t xml:space="preserve"> 2014). </w:t>
      </w:r>
      <w:r w:rsidRPr="00940468">
        <w:t xml:space="preserve">In experiment </w:t>
      </w:r>
      <w:r>
        <w:t>(C)</w:t>
      </w:r>
      <w:r w:rsidRPr="00940468">
        <w:t xml:space="preserve"> </w:t>
      </w:r>
      <w:r>
        <w:t>fresh</w:t>
      </w:r>
      <w:r w:rsidRPr="00940468">
        <w:t xml:space="preserve"> seeds </w:t>
      </w:r>
      <w:r>
        <w:t xml:space="preserve">(these were kept in dry storage during the moist chilling period, see above) were </w:t>
      </w:r>
      <w:r w:rsidRPr="00940468">
        <w:t>set to germinate at 20</w:t>
      </w:r>
      <w:r>
        <w:t>ºC in light and darkness</w:t>
      </w:r>
      <w:r w:rsidRPr="00940468">
        <w:t xml:space="preserve">, using the germination of </w:t>
      </w:r>
      <w:r>
        <w:t xml:space="preserve">moist chilled </w:t>
      </w:r>
      <w:r w:rsidRPr="00940468">
        <w:t>seeds at 20</w:t>
      </w:r>
      <w:r>
        <w:t>ºC</w:t>
      </w:r>
      <w:r w:rsidRPr="00940468">
        <w:t xml:space="preserve"> </w:t>
      </w:r>
      <w:r>
        <w:t>in light and darkness</w:t>
      </w:r>
      <w:r w:rsidRPr="00940468">
        <w:t xml:space="preserve"> as control</w:t>
      </w:r>
      <w:r>
        <w:t>s</w:t>
      </w:r>
      <w:r w:rsidRPr="00940468">
        <w:t xml:space="preserve">. </w:t>
      </w:r>
    </w:p>
    <w:p w:rsidR="00412AF3" w:rsidRDefault="00412AF3" w:rsidP="00412AF3">
      <w:pPr>
        <w:pStyle w:val="Header"/>
        <w:tabs>
          <w:tab w:val="clear" w:pos="4536"/>
          <w:tab w:val="clear" w:pos="9072"/>
        </w:tabs>
        <w:ind w:left="57" w:right="57" w:firstLine="709"/>
      </w:pPr>
      <w:r w:rsidRPr="00AF51A0">
        <w:rPr>
          <w:szCs w:val="24"/>
          <w:lang w:val="en-US"/>
        </w:rPr>
        <w:t>Treatment with</w:t>
      </w:r>
      <w:r>
        <w:rPr>
          <w:szCs w:val="24"/>
          <w:lang w:val="en-US"/>
        </w:rPr>
        <w:t xml:space="preserve"> gibberellins (</w:t>
      </w:r>
      <w:r w:rsidRPr="00AF51A0">
        <w:rPr>
          <w:szCs w:val="24"/>
          <w:lang w:val="en-US"/>
        </w:rPr>
        <w:t>GA</w:t>
      </w:r>
      <w:r w:rsidRPr="00B64FAA">
        <w:rPr>
          <w:szCs w:val="24"/>
          <w:vertAlign w:val="subscript"/>
          <w:lang w:val="en-US"/>
        </w:rPr>
        <w:t>3</w:t>
      </w:r>
      <w:r w:rsidRPr="00AF51A0">
        <w:rPr>
          <w:szCs w:val="24"/>
          <w:lang w:val="en-US"/>
        </w:rPr>
        <w:t xml:space="preserve"> acids</w:t>
      </w:r>
      <w:r>
        <w:rPr>
          <w:szCs w:val="24"/>
          <w:lang w:val="en-US"/>
        </w:rPr>
        <w:t>)</w:t>
      </w:r>
      <w:r w:rsidRPr="00AF51A0">
        <w:rPr>
          <w:szCs w:val="24"/>
          <w:lang w:val="en-US"/>
        </w:rPr>
        <w:t xml:space="preserve"> has proven highly effective in dormancy-breaking in a number of alpine species (e.g., Hoyle </w:t>
      </w:r>
      <w:r w:rsidRPr="00AA7D69">
        <w:rPr>
          <w:i/>
          <w:szCs w:val="24"/>
          <w:lang w:val="en-US"/>
        </w:rPr>
        <w:t>et al.,</w:t>
      </w:r>
      <w:r w:rsidRPr="00AF51A0">
        <w:rPr>
          <w:szCs w:val="24"/>
          <w:lang w:val="en-US"/>
        </w:rPr>
        <w:t xml:space="preserve"> 2013</w:t>
      </w:r>
      <w:r>
        <w:rPr>
          <w:szCs w:val="24"/>
          <w:lang w:val="en-US"/>
        </w:rPr>
        <w:t>;</w:t>
      </w:r>
      <w:r w:rsidRPr="00AF51A0">
        <w:rPr>
          <w:szCs w:val="24"/>
          <w:lang w:val="en-US"/>
        </w:rPr>
        <w:t xml:space="preserve"> and references therein)</w:t>
      </w:r>
      <w:r>
        <w:rPr>
          <w:szCs w:val="24"/>
          <w:lang w:val="en-US"/>
        </w:rPr>
        <w:t xml:space="preserve"> and for different kinds of dormancy (Baskin and Baskin, 2004), </w:t>
      </w:r>
      <w:r w:rsidRPr="00AF51A0">
        <w:rPr>
          <w:szCs w:val="24"/>
          <w:lang w:val="en-US"/>
        </w:rPr>
        <w:t xml:space="preserve">and experiment </w:t>
      </w:r>
      <w:r>
        <w:rPr>
          <w:szCs w:val="24"/>
          <w:lang w:val="en-US"/>
        </w:rPr>
        <w:t>(D)</w:t>
      </w:r>
      <w:r w:rsidRPr="00AF51A0">
        <w:rPr>
          <w:szCs w:val="24"/>
          <w:lang w:val="en-US"/>
        </w:rPr>
        <w:t xml:space="preserve"> was therefore included to indicate whether any important environmental cues that </w:t>
      </w:r>
      <w:r>
        <w:rPr>
          <w:szCs w:val="24"/>
          <w:lang w:val="en-US"/>
        </w:rPr>
        <w:t xml:space="preserve">may </w:t>
      </w:r>
      <w:r w:rsidRPr="00AF51A0">
        <w:rPr>
          <w:szCs w:val="24"/>
          <w:lang w:val="en-US"/>
        </w:rPr>
        <w:t xml:space="preserve">break dormancy and initiate germination had been missed. </w:t>
      </w:r>
      <w:r w:rsidRPr="00940468">
        <w:t xml:space="preserve">In </w:t>
      </w:r>
      <w:proofErr w:type="spellStart"/>
      <w:r w:rsidRPr="00940468">
        <w:t>experiment</w:t>
      </w:r>
      <w:proofErr w:type="spellEnd"/>
      <w:r w:rsidRPr="00940468">
        <w:rPr>
          <w:vertAlign w:val="subscript"/>
        </w:rPr>
        <w:t xml:space="preserve"> </w:t>
      </w:r>
      <w:r>
        <w:t>(D)</w:t>
      </w:r>
      <w:r w:rsidRPr="00940468">
        <w:t xml:space="preserve">, </w:t>
      </w:r>
      <w:proofErr w:type="spellStart"/>
      <w:r w:rsidRPr="00940468">
        <w:t>the</w:t>
      </w:r>
      <w:proofErr w:type="spellEnd"/>
      <w:r w:rsidRPr="00940468">
        <w:t xml:space="preserve"> </w:t>
      </w:r>
      <w:r>
        <w:t>P</w:t>
      </w:r>
      <w:r w:rsidRPr="00940468">
        <w:t xml:space="preserve">etri </w:t>
      </w:r>
      <w:proofErr w:type="spellStart"/>
      <w:r w:rsidRPr="00940468">
        <w:t>dishes</w:t>
      </w:r>
      <w:proofErr w:type="spellEnd"/>
      <w:r w:rsidRPr="00940468">
        <w:t xml:space="preserve"> </w:t>
      </w:r>
      <w:proofErr w:type="spellStart"/>
      <w:r w:rsidRPr="00940468">
        <w:t>were</w:t>
      </w:r>
      <w:proofErr w:type="spellEnd"/>
      <w:r w:rsidRPr="00940468">
        <w:t xml:space="preserve"> </w:t>
      </w:r>
      <w:proofErr w:type="spellStart"/>
      <w:r w:rsidRPr="00940468">
        <w:t>watered</w:t>
      </w:r>
      <w:proofErr w:type="spellEnd"/>
      <w:r w:rsidRPr="00940468">
        <w:t xml:space="preserve"> </w:t>
      </w:r>
      <w:proofErr w:type="spellStart"/>
      <w:r w:rsidRPr="00940468">
        <w:t>with</w:t>
      </w:r>
      <w:proofErr w:type="spellEnd"/>
      <w:r w:rsidRPr="00940468">
        <w:t xml:space="preserve"> 8</w:t>
      </w:r>
      <w:r>
        <w:t xml:space="preserve">00 mg </w:t>
      </w:r>
      <w:r w:rsidRPr="00123BE9">
        <w:rPr>
          <w:szCs w:val="24"/>
          <w:lang w:val="en-US"/>
        </w:rPr>
        <w:t>L</w:t>
      </w:r>
      <w:r w:rsidRPr="00380E6B">
        <w:rPr>
          <w:szCs w:val="24"/>
          <w:vertAlign w:val="superscript"/>
          <w:lang w:val="en-US"/>
        </w:rPr>
        <w:t>−1</w:t>
      </w:r>
      <w:r w:rsidRPr="00940468">
        <w:t xml:space="preserve"> GA</w:t>
      </w:r>
      <w:r w:rsidRPr="00940468">
        <w:rPr>
          <w:vertAlign w:val="subscript"/>
        </w:rPr>
        <w:t>3</w:t>
      </w:r>
      <w:r w:rsidRPr="00940468">
        <w:t xml:space="preserve">, </w:t>
      </w:r>
      <w:r>
        <w:t>(</w:t>
      </w:r>
      <w:proofErr w:type="spellStart"/>
      <w:r>
        <w:t>selected</w:t>
      </w:r>
      <w:proofErr w:type="spellEnd"/>
      <w:r>
        <w:t xml:space="preserve"> to </w:t>
      </w:r>
      <w:proofErr w:type="gramStart"/>
      <w:r>
        <w:t>be</w:t>
      </w:r>
      <w:proofErr w:type="gramEnd"/>
      <w:r>
        <w:t xml:space="preserve"> </w:t>
      </w:r>
      <w:proofErr w:type="spellStart"/>
      <w:r>
        <w:t>within</w:t>
      </w:r>
      <w:proofErr w:type="spellEnd"/>
      <w:r>
        <w:t xml:space="preserve"> </w:t>
      </w:r>
      <w:proofErr w:type="spellStart"/>
      <w:r>
        <w:t>the</w:t>
      </w:r>
      <w:proofErr w:type="spellEnd"/>
      <w:r>
        <w:t xml:space="preserve"> range </w:t>
      </w:r>
      <w:proofErr w:type="spellStart"/>
      <w:r>
        <w:t>reported</w:t>
      </w:r>
      <w:proofErr w:type="spellEnd"/>
      <w:r>
        <w:t xml:space="preserve"> in </w:t>
      </w:r>
      <w:proofErr w:type="spellStart"/>
      <w:r>
        <w:t>Hoyle</w:t>
      </w:r>
      <w:proofErr w:type="spellEnd"/>
      <w:r>
        <w:t xml:space="preserve"> et al., 2013) </w:t>
      </w:r>
      <w:r w:rsidRPr="00940468">
        <w:t xml:space="preserve">and </w:t>
      </w:r>
      <w:proofErr w:type="spellStart"/>
      <w:r w:rsidRPr="00940468">
        <w:t>set</w:t>
      </w:r>
      <w:proofErr w:type="spellEnd"/>
      <w:r w:rsidRPr="00940468">
        <w:t xml:space="preserve"> to </w:t>
      </w:r>
      <w:proofErr w:type="spellStart"/>
      <w:r w:rsidRPr="00940468">
        <w:t>germinate</w:t>
      </w:r>
      <w:proofErr w:type="spellEnd"/>
      <w:r w:rsidRPr="00940468">
        <w:t xml:space="preserve"> in </w:t>
      </w:r>
      <w:proofErr w:type="spellStart"/>
      <w:r w:rsidRPr="00940468">
        <w:t>light</w:t>
      </w:r>
      <w:proofErr w:type="spellEnd"/>
      <w:r w:rsidRPr="00940468">
        <w:t xml:space="preserve"> at 20</w:t>
      </w:r>
      <w:r>
        <w:t>ºC</w:t>
      </w:r>
      <w:r w:rsidRPr="00940468">
        <w:t xml:space="preserve">, </w:t>
      </w:r>
      <w:proofErr w:type="spellStart"/>
      <w:r w:rsidRPr="00940468">
        <w:t>using</w:t>
      </w:r>
      <w:proofErr w:type="spellEnd"/>
      <w:r w:rsidRPr="00940468">
        <w:t xml:space="preserve"> </w:t>
      </w:r>
      <w:proofErr w:type="spellStart"/>
      <w:r w:rsidRPr="00940468">
        <w:t>the</w:t>
      </w:r>
      <w:proofErr w:type="spellEnd"/>
      <w:r w:rsidRPr="00940468">
        <w:t xml:space="preserve"> </w:t>
      </w:r>
      <w:proofErr w:type="spellStart"/>
      <w:r w:rsidRPr="00940468">
        <w:t>germination</w:t>
      </w:r>
      <w:proofErr w:type="spellEnd"/>
      <w:r w:rsidRPr="00940468">
        <w:t xml:space="preserve"> </w:t>
      </w:r>
      <w:proofErr w:type="spellStart"/>
      <w:r>
        <w:t>of</w:t>
      </w:r>
      <w:proofErr w:type="spellEnd"/>
      <w:r>
        <w:t xml:space="preserve"> </w:t>
      </w:r>
      <w:proofErr w:type="spellStart"/>
      <w:r w:rsidRPr="00940468">
        <w:t>seeds</w:t>
      </w:r>
      <w:proofErr w:type="spellEnd"/>
      <w:r w:rsidRPr="00940468">
        <w:t xml:space="preserve"> </w:t>
      </w:r>
      <w:proofErr w:type="spellStart"/>
      <w:r>
        <w:t>exposed</w:t>
      </w:r>
      <w:proofErr w:type="spellEnd"/>
      <w:r>
        <w:t xml:space="preserve"> to a </w:t>
      </w:r>
      <w:proofErr w:type="spellStart"/>
      <w:r>
        <w:t>moist</w:t>
      </w:r>
      <w:proofErr w:type="spellEnd"/>
      <w:r>
        <w:t xml:space="preserve"> </w:t>
      </w:r>
      <w:proofErr w:type="spellStart"/>
      <w:r>
        <w:t>chilling</w:t>
      </w:r>
      <w:proofErr w:type="spellEnd"/>
      <w:r>
        <w:t xml:space="preserve"> pre-</w:t>
      </w:r>
      <w:proofErr w:type="spellStart"/>
      <w:r>
        <w:t>treatment</w:t>
      </w:r>
      <w:proofErr w:type="spellEnd"/>
      <w:r>
        <w:t xml:space="preserve"> </w:t>
      </w:r>
      <w:r w:rsidRPr="00940468">
        <w:t>at 20</w:t>
      </w:r>
      <w:r>
        <w:t>ºC</w:t>
      </w:r>
      <w:r w:rsidRPr="00940468">
        <w:t xml:space="preserve"> in </w:t>
      </w:r>
      <w:proofErr w:type="spellStart"/>
      <w:r w:rsidRPr="00940468">
        <w:t>light</w:t>
      </w:r>
      <w:proofErr w:type="spellEnd"/>
      <w:r w:rsidRPr="00940468">
        <w:t xml:space="preserve"> as </w:t>
      </w:r>
      <w:proofErr w:type="spellStart"/>
      <w:r w:rsidRPr="00940468">
        <w:t>controls</w:t>
      </w:r>
      <w:proofErr w:type="spellEnd"/>
      <w:r w:rsidRPr="00940468">
        <w:t xml:space="preserve">. </w:t>
      </w:r>
    </w:p>
    <w:p w:rsidR="00412AF3" w:rsidRPr="00940468" w:rsidRDefault="00412AF3" w:rsidP="00412AF3">
      <w:pPr>
        <w:ind w:left="57" w:right="57" w:firstLine="709"/>
      </w:pPr>
      <w:r>
        <w:t>For each</w:t>
      </w:r>
      <w:r w:rsidRPr="00940468">
        <w:t xml:space="preserve"> factorial combination of </w:t>
      </w:r>
      <w:r w:rsidRPr="00940468">
        <w:rPr>
          <w:u w:val="single"/>
        </w:rPr>
        <w:t>treatments x species</w:t>
      </w:r>
      <w:r w:rsidRPr="00940468">
        <w:t xml:space="preserve"> </w:t>
      </w:r>
      <w:r>
        <w:t>four replicate Petri dishes containing 50 seeds were used</w:t>
      </w:r>
      <w:r w:rsidRPr="00940468">
        <w:t xml:space="preserve">, for a total of </w:t>
      </w:r>
      <w:r>
        <w:t>572</w:t>
      </w:r>
      <w:r w:rsidRPr="00940468">
        <w:t xml:space="preserve"> </w:t>
      </w:r>
      <w:r>
        <w:t>P</w:t>
      </w:r>
      <w:r w:rsidRPr="00940468">
        <w:t>etri dishes and 2</w:t>
      </w:r>
      <w:r>
        <w:t xml:space="preserve">8 </w:t>
      </w:r>
      <w:r w:rsidRPr="00940468">
        <w:t xml:space="preserve">600 seeds. Germination was recorded and seedlings removed after 2, 4, 6, 10, 16, 24, and 32 days. At each count, the positions of the </w:t>
      </w:r>
      <w:r>
        <w:t>P</w:t>
      </w:r>
      <w:r w:rsidRPr="00940468">
        <w:t xml:space="preserve">etri dishes were shuffled and water was added </w:t>
      </w:r>
      <w:r>
        <w:t>to maintain equal light and moisture levels and prevent drying at warmer incubation temperatures</w:t>
      </w:r>
      <w:r w:rsidRPr="00940468">
        <w:t xml:space="preserve">. The experiments were carried out at the Centre for Plant Research in Controlled Climate at the </w:t>
      </w:r>
      <w:r>
        <w:t>Norwegian University of Life Sciences (</w:t>
      </w:r>
      <w:hyperlink r:id="rId8" w:history="1">
        <w:r w:rsidRPr="003302BC">
          <w:rPr>
            <w:rStyle w:val="Hyperlink"/>
          </w:rPr>
          <w:t>www.nmbu.no/tjenester/sentre/skp</w:t>
        </w:r>
      </w:hyperlink>
      <w:r>
        <w:t>)</w:t>
      </w:r>
      <w:r w:rsidRPr="00940468">
        <w:t xml:space="preserve">. </w:t>
      </w:r>
      <w:r>
        <w:t>S</w:t>
      </w:r>
      <w:r w:rsidRPr="00940468">
        <w:t xml:space="preserve">ix growth chambers were available, and in order to obtain replication for temperatures, experiments </w:t>
      </w:r>
      <w:r>
        <w:t>(A)</w:t>
      </w:r>
      <w:r w:rsidRPr="00940468">
        <w:t xml:space="preserve"> and </w:t>
      </w:r>
      <w:r>
        <w:t>(B)</w:t>
      </w:r>
      <w:r w:rsidRPr="00940468">
        <w:t xml:space="preserve"> were run twice with different chamber x temperature combinations in the two replicate runs. There </w:t>
      </w:r>
      <w:r>
        <w:t>was</w:t>
      </w:r>
      <w:r w:rsidRPr="00940468">
        <w:t xml:space="preserve"> no measurable chamber-to-chamber difference in light intensity and </w:t>
      </w:r>
      <w:r>
        <w:t xml:space="preserve">spectral </w:t>
      </w:r>
      <w:r w:rsidRPr="00940468">
        <w:t xml:space="preserve">quality, or any differential effect of the light treatments on temperatures within </w:t>
      </w:r>
      <w:r>
        <w:t>P</w:t>
      </w:r>
      <w:r w:rsidRPr="00940468">
        <w:t>etri dishes</w:t>
      </w:r>
      <w:r>
        <w:t xml:space="preserve"> (monitored by the technical staff at the Centre)</w:t>
      </w:r>
      <w:r w:rsidRPr="00940468">
        <w:t xml:space="preserve">. </w:t>
      </w:r>
      <w:r w:rsidR="00460C30">
        <w:t xml:space="preserve">For </w:t>
      </w:r>
      <w:r w:rsidR="00460C30">
        <w:t xml:space="preserve">further </w:t>
      </w:r>
      <w:r w:rsidR="00460C30">
        <w:t xml:space="preserve">details, see </w:t>
      </w:r>
      <w:r w:rsidR="00460C30">
        <w:rPr>
          <w:iCs/>
          <w:lang w:val="en-GB"/>
        </w:rPr>
        <w:t xml:space="preserve">Vandvik </w:t>
      </w:r>
      <w:r w:rsidR="00460C30" w:rsidRPr="00412AF3">
        <w:rPr>
          <w:i/>
          <w:iCs/>
          <w:lang w:val="en-GB"/>
        </w:rPr>
        <w:t>et al.</w:t>
      </w:r>
      <w:r w:rsidR="00460C30">
        <w:rPr>
          <w:iCs/>
          <w:lang w:val="en-GB"/>
        </w:rPr>
        <w:t xml:space="preserve"> (2016)</w:t>
      </w:r>
      <w:r w:rsidR="00460C30" w:rsidRPr="0069790D">
        <w:rPr>
          <w:iCs/>
          <w:lang w:val="en-GB"/>
        </w:rPr>
        <w:t>.</w:t>
      </w:r>
    </w:p>
    <w:p w:rsidR="00412AF3" w:rsidRDefault="00412AF3" w:rsidP="00412AF3">
      <w:pPr>
        <w:ind w:firstLine="708"/>
      </w:pPr>
    </w:p>
    <w:p w:rsidR="00460C30" w:rsidRPr="00460C30" w:rsidRDefault="00460C30" w:rsidP="00460C30">
      <w:pPr>
        <w:rPr>
          <w:b/>
        </w:rPr>
      </w:pPr>
      <w:r w:rsidRPr="00460C30">
        <w:rPr>
          <w:b/>
        </w:rPr>
        <w:t>List of variables:</w:t>
      </w:r>
    </w:p>
    <w:p w:rsidR="00460C30" w:rsidRDefault="00460C30" w:rsidP="00460C30"/>
    <w:p w:rsidR="00460C30" w:rsidRPr="00556B3C" w:rsidRDefault="0014200A" w:rsidP="00460C30">
      <w:r>
        <w:t>Species</w:t>
      </w:r>
      <w:r w:rsidR="00460C30" w:rsidRPr="00556B3C">
        <w:tab/>
      </w:r>
      <w:r w:rsidR="00460C30" w:rsidRPr="00556B3C">
        <w:tab/>
      </w:r>
      <w:r w:rsidR="00460C30" w:rsidRPr="00556B3C">
        <w:tab/>
      </w:r>
      <w:r>
        <w:t>2</w:t>
      </w:r>
      <w:r w:rsidR="00460C30" w:rsidRPr="00556B3C">
        <w:t>-letter abbreviation (first letter</w:t>
      </w:r>
      <w:r>
        <w:t xml:space="preserve"> for species and genus name</w:t>
      </w:r>
      <w:r w:rsidR="00460C30" w:rsidRPr="00556B3C">
        <w:t xml:space="preserve">)  </w:t>
      </w:r>
    </w:p>
    <w:p w:rsidR="0014200A" w:rsidRPr="00556B3C" w:rsidRDefault="0014200A" w:rsidP="0014200A">
      <w:r>
        <w:t>PETRI ID</w:t>
      </w:r>
      <w:r w:rsidR="00460C30" w:rsidRPr="00556B3C">
        <w:tab/>
      </w:r>
      <w:r w:rsidR="00460C30" w:rsidRPr="00556B3C">
        <w:tab/>
      </w:r>
      <w:r w:rsidR="00460C30" w:rsidRPr="00556B3C">
        <w:tab/>
      </w:r>
      <w:r>
        <w:t>Unique ID for each petri dish</w:t>
      </w:r>
    </w:p>
    <w:p w:rsidR="0014200A" w:rsidRDefault="0014200A" w:rsidP="00460C30">
      <w:r>
        <w:t>CHAMBER ID</w:t>
      </w:r>
      <w:r w:rsidR="00460C30" w:rsidRPr="00556B3C">
        <w:tab/>
      </w:r>
      <w:r w:rsidR="00460C30" w:rsidRPr="00556B3C">
        <w:tab/>
      </w:r>
      <w:r>
        <w:t xml:space="preserve">Unique ID for each </w:t>
      </w:r>
      <w:r>
        <w:t>growth chamber (1-6)</w:t>
      </w:r>
      <w:r w:rsidRPr="00556B3C">
        <w:t xml:space="preserve"> </w:t>
      </w:r>
    </w:p>
    <w:p w:rsidR="0014200A" w:rsidRDefault="0014200A" w:rsidP="0014200A">
      <w:r>
        <w:t>Light</w:t>
      </w:r>
      <w:r>
        <w:tab/>
      </w:r>
      <w:r>
        <w:tab/>
      </w:r>
      <w:r>
        <w:tab/>
      </w:r>
      <w:r>
        <w:tab/>
        <w:t>1 = germination in light, 0 = germination in darkness</w:t>
      </w:r>
    </w:p>
    <w:p w:rsidR="0014200A" w:rsidRDefault="0014200A" w:rsidP="00460C30">
      <w:r>
        <w:t>Temperature</w:t>
      </w:r>
      <w:r>
        <w:tab/>
      </w:r>
      <w:r>
        <w:tab/>
      </w:r>
      <w:r>
        <w:tab/>
        <w:t>Growth chamber temperature (10°C – 25°C)</w:t>
      </w:r>
      <w:r>
        <w:tab/>
      </w:r>
    </w:p>
    <w:p w:rsidR="0014200A" w:rsidRDefault="0014200A" w:rsidP="0014200A">
      <w:pPr>
        <w:ind w:left="2832" w:hanging="2832"/>
      </w:pPr>
      <w:r>
        <w:t>Diurnal fluctuation</w:t>
      </w:r>
      <w:r>
        <w:tab/>
        <w:t xml:space="preserve">Diurnal temperature fluctuation (1= 16 </w:t>
      </w:r>
      <w:proofErr w:type="spellStart"/>
      <w:r>
        <w:t>hrs</w:t>
      </w:r>
      <w:proofErr w:type="spellEnd"/>
      <w:r>
        <w:t xml:space="preserve"> </w:t>
      </w:r>
      <w:proofErr w:type="gramStart"/>
      <w:r>
        <w:t>of  25</w:t>
      </w:r>
      <w:proofErr w:type="gramEnd"/>
      <w:r>
        <w:t xml:space="preserve">°C and 10 </w:t>
      </w:r>
      <w:proofErr w:type="spellStart"/>
      <w:r>
        <w:t>hrs</w:t>
      </w:r>
      <w:proofErr w:type="spellEnd"/>
      <w:r>
        <w:t xml:space="preserve"> of 10°C; 0 = 24 </w:t>
      </w:r>
      <w:proofErr w:type="spellStart"/>
      <w:r>
        <w:t>hrs</w:t>
      </w:r>
      <w:proofErr w:type="spellEnd"/>
      <w:r>
        <w:t xml:space="preserve"> of 20°C)</w:t>
      </w:r>
    </w:p>
    <w:p w:rsidR="0014200A" w:rsidRDefault="0014200A" w:rsidP="00460C30">
      <w:r>
        <w:t>Stratification</w:t>
      </w:r>
      <w:r>
        <w:tab/>
      </w:r>
      <w:r>
        <w:tab/>
      </w:r>
      <w:r>
        <w:tab/>
        <w:t xml:space="preserve">1 = seeds exposed to cold-stratification, 0 = </w:t>
      </w:r>
      <w:proofErr w:type="spellStart"/>
      <w:r>
        <w:t>unstratified</w:t>
      </w:r>
      <w:proofErr w:type="spellEnd"/>
      <w:r>
        <w:t xml:space="preserve"> seeds </w:t>
      </w:r>
    </w:p>
    <w:p w:rsidR="0014200A" w:rsidRDefault="0014200A" w:rsidP="00460C30">
      <w:proofErr w:type="spellStart"/>
      <w:r>
        <w:t>Giberillic</w:t>
      </w:r>
      <w:proofErr w:type="spellEnd"/>
      <w:r>
        <w:t xml:space="preserve"> acid</w:t>
      </w:r>
      <w:r>
        <w:tab/>
      </w:r>
      <w:r>
        <w:tab/>
      </w:r>
      <w:r>
        <w:tab/>
        <w:t xml:space="preserve">1 = </w:t>
      </w:r>
      <w:proofErr w:type="spellStart"/>
      <w:r>
        <w:t>giberillic</w:t>
      </w:r>
      <w:proofErr w:type="spellEnd"/>
      <w:r>
        <w:t xml:space="preserve"> acid added 0 = water</w:t>
      </w:r>
    </w:p>
    <w:p w:rsidR="0014200A" w:rsidRDefault="0014200A" w:rsidP="00460C30">
      <w:r>
        <w:t>Day 2 – day 32</w:t>
      </w:r>
      <w:r>
        <w:tab/>
      </w:r>
      <w:r>
        <w:tab/>
        <w:t>Number of seeds germinating at each census day</w:t>
      </w:r>
    </w:p>
    <w:p w:rsidR="0014200A" w:rsidRDefault="0014200A" w:rsidP="00460C30">
      <w:r>
        <w:t>Total germination</w:t>
      </w:r>
      <w:r>
        <w:tab/>
      </w:r>
      <w:r>
        <w:tab/>
        <w:t>Total number of seeds germinated</w:t>
      </w:r>
    </w:p>
    <w:p w:rsidR="0014200A" w:rsidRDefault="0014200A" w:rsidP="00460C30"/>
    <w:p w:rsidR="0014200A" w:rsidRDefault="0014200A" w:rsidP="00460C30">
      <w:pPr>
        <w:pStyle w:val="Header"/>
        <w:tabs>
          <w:tab w:val="clear" w:pos="4536"/>
          <w:tab w:val="clear" w:pos="9072"/>
        </w:tabs>
        <w:spacing w:line="480" w:lineRule="auto"/>
        <w:ind w:right="57"/>
        <w:rPr>
          <w:i/>
          <w:szCs w:val="24"/>
          <w:lang w:val="en-GB"/>
        </w:rPr>
      </w:pPr>
    </w:p>
    <w:p w:rsidR="00460C30" w:rsidRPr="00487795" w:rsidRDefault="00460C30" w:rsidP="0014200A">
      <w:pPr>
        <w:pStyle w:val="Header"/>
        <w:numPr>
          <w:ilvl w:val="0"/>
          <w:numId w:val="1"/>
        </w:numPr>
        <w:tabs>
          <w:tab w:val="clear" w:pos="4536"/>
          <w:tab w:val="clear" w:pos="9072"/>
        </w:tabs>
        <w:spacing w:line="480" w:lineRule="auto"/>
        <w:ind w:right="57"/>
        <w:rPr>
          <w:i/>
          <w:szCs w:val="24"/>
          <w:lang w:val="en-GB"/>
        </w:rPr>
      </w:pPr>
      <w:r w:rsidRPr="00487795">
        <w:rPr>
          <w:i/>
          <w:szCs w:val="24"/>
          <w:lang w:val="en-GB"/>
        </w:rPr>
        <w:t>Seed regeneration in perennial grassland</w:t>
      </w:r>
    </w:p>
    <w:p w:rsidR="00460C30" w:rsidRDefault="00412AF3" w:rsidP="00460C30">
      <w:r>
        <w:t xml:space="preserve">The seedling recruitment data </w:t>
      </w:r>
      <w:r>
        <w:t>(Vandvik_</w:t>
      </w:r>
      <w:r>
        <w:t>Recruitment</w:t>
      </w:r>
      <w:r>
        <w:t>.csv)</w:t>
      </w:r>
      <w:r>
        <w:t xml:space="preserve"> reports on a</w:t>
      </w:r>
      <w:r w:rsidRPr="00AF51A0">
        <w:t xml:space="preserve"> field experiment to investigate the seedling emergence and mortality of the 11 species in contrasting grassland </w:t>
      </w:r>
      <w:r w:rsidRPr="00AF51A0">
        <w:lastRenderedPageBreak/>
        <w:t>microsites</w:t>
      </w:r>
      <w:r>
        <w:t xml:space="preserve">. The experiment </w:t>
      </w:r>
      <w:r w:rsidRPr="00AF51A0">
        <w:t xml:space="preserve">was set up at </w:t>
      </w:r>
      <w:r>
        <w:t xml:space="preserve">a semi-natural grassland at </w:t>
      </w:r>
      <w:proofErr w:type="spellStart"/>
      <w:r w:rsidRPr="00AF51A0">
        <w:t>Såttåhaugen</w:t>
      </w:r>
      <w:proofErr w:type="spellEnd"/>
      <w:r w:rsidRPr="00AF51A0">
        <w:t xml:space="preserve"> (10º49’50’’E, 62º37’80’’N</w:t>
      </w:r>
      <w:r>
        <w:t xml:space="preserve">) at </w:t>
      </w:r>
      <w:r w:rsidRPr="00AF51A0">
        <w:t xml:space="preserve">880 </w:t>
      </w:r>
      <w:proofErr w:type="spellStart"/>
      <w:r>
        <w:t>m.a.s.l</w:t>
      </w:r>
      <w:proofErr w:type="spellEnd"/>
      <w:proofErr w:type="gramStart"/>
      <w:r>
        <w:t>.</w:t>
      </w:r>
      <w:r w:rsidRPr="00AF51A0">
        <w:t>.</w:t>
      </w:r>
      <w:proofErr w:type="gramEnd"/>
      <w:r w:rsidRPr="00412AF3">
        <w:t xml:space="preserve"> </w:t>
      </w:r>
    </w:p>
    <w:p w:rsidR="00460C30" w:rsidRDefault="00412AF3" w:rsidP="00460C30">
      <w:pPr>
        <w:ind w:firstLine="708"/>
      </w:pPr>
      <w:r w:rsidRPr="00AF51A0">
        <w:t xml:space="preserve">Four experimental treatments </w:t>
      </w:r>
      <w:r>
        <w:t xml:space="preserve">that reflect different environmental and competitive settings for seeds and seedlings </w:t>
      </w:r>
      <w:r w:rsidRPr="00AF51A0">
        <w:t xml:space="preserve">were compared; bare-ground gaps with both above- and below-ground plant parts removed, vegetation cut at ground level (0cm), vegetation cut at 5cm above ground, and </w:t>
      </w:r>
      <w:proofErr w:type="spellStart"/>
      <w:r>
        <w:t>non</w:t>
      </w:r>
      <w:r w:rsidRPr="00AF51A0">
        <w:t>treated</w:t>
      </w:r>
      <w:proofErr w:type="spellEnd"/>
      <w:r w:rsidRPr="00AF51A0">
        <w:t xml:space="preserve"> plots with a field layer of </w:t>
      </w:r>
      <w:r>
        <w:t xml:space="preserve">ca. </w:t>
      </w:r>
      <w:r w:rsidRPr="00AF51A0">
        <w:t>20cm</w:t>
      </w:r>
      <w:r>
        <w:t xml:space="preserve"> in height</w:t>
      </w:r>
      <w:r w:rsidRPr="00AF51A0">
        <w:t xml:space="preserve">. </w:t>
      </w:r>
    </w:p>
    <w:p w:rsidR="00460C30" w:rsidRDefault="00412AF3" w:rsidP="00460C30">
      <w:pPr>
        <w:ind w:firstLine="708"/>
      </w:pPr>
      <w:r>
        <w:t xml:space="preserve">In October 1998, a </w:t>
      </w:r>
      <w:r w:rsidRPr="00AF51A0">
        <w:t xml:space="preserve">fully factorial randomized block design with five replicate blocks, each containing a grid of 44 25cm x 25cm plots, was set up. Each combination of species x treatment was represented once within each block, and batches of 100 recently collected seeds (see above) were sown into the central </w:t>
      </w:r>
      <w:r>
        <w:t>20cm x 20cm</w:t>
      </w:r>
      <w:r w:rsidRPr="00AF51A0">
        <w:t xml:space="preserve"> of each plot, for a total of 22</w:t>
      </w:r>
      <w:r>
        <w:t xml:space="preserve"> </w:t>
      </w:r>
      <w:r w:rsidRPr="00AF51A0">
        <w:t xml:space="preserve">000 seeds and 220 plots. </w:t>
      </w:r>
    </w:p>
    <w:p w:rsidR="00412AF3" w:rsidRDefault="00412AF3" w:rsidP="00460C30">
      <w:pPr>
        <w:ind w:firstLine="708"/>
      </w:pPr>
      <w:r>
        <w:t>I</w:t>
      </w:r>
      <w:r w:rsidRPr="00940468">
        <w:t>n 1999 and 2000</w:t>
      </w:r>
      <w:r>
        <w:t>, s</w:t>
      </w:r>
      <w:r w:rsidRPr="00940468">
        <w:t>eedling emergence and mortality were recorded as the grassland sward closed at the end of spring (late June), and at the end of the growing season (late August)</w:t>
      </w:r>
      <w:r>
        <w:t>.</w:t>
      </w:r>
      <w:r w:rsidRPr="00940468">
        <w:t xml:space="preserve"> </w:t>
      </w:r>
      <w:r>
        <w:t>No precautions were taken against seed predation or seedling herbivory, and the observed emergence and survival hence reflect those realized by naturally-dispersed seeds and seedlings at the site.</w:t>
      </w:r>
      <w:r w:rsidRPr="00412AF3">
        <w:t xml:space="preserve"> </w:t>
      </w:r>
      <w:r>
        <w:t xml:space="preserve">For </w:t>
      </w:r>
      <w:r>
        <w:t xml:space="preserve">further </w:t>
      </w:r>
      <w:r>
        <w:t xml:space="preserve">details, see </w:t>
      </w:r>
      <w:r>
        <w:rPr>
          <w:iCs/>
          <w:lang w:val="en-GB"/>
        </w:rPr>
        <w:t xml:space="preserve">Vandvik </w:t>
      </w:r>
      <w:r w:rsidRPr="00412AF3">
        <w:rPr>
          <w:i/>
          <w:iCs/>
          <w:lang w:val="en-GB"/>
        </w:rPr>
        <w:t>et al.</w:t>
      </w:r>
      <w:r>
        <w:rPr>
          <w:iCs/>
          <w:lang w:val="en-GB"/>
        </w:rPr>
        <w:t xml:space="preserve"> (2016)</w:t>
      </w:r>
      <w:r w:rsidRPr="0069790D">
        <w:rPr>
          <w:iCs/>
          <w:lang w:val="en-GB"/>
        </w:rPr>
        <w:t>.</w:t>
      </w:r>
    </w:p>
    <w:p w:rsidR="00412AF3" w:rsidRDefault="00412AF3" w:rsidP="00412AF3">
      <w:pPr>
        <w:pStyle w:val="Header"/>
        <w:tabs>
          <w:tab w:val="clear" w:pos="4536"/>
          <w:tab w:val="clear" w:pos="9072"/>
        </w:tabs>
        <w:ind w:right="57" w:firstLine="708"/>
      </w:pPr>
    </w:p>
    <w:p w:rsidR="00412AF3" w:rsidRDefault="00412AF3" w:rsidP="00412AF3"/>
    <w:p w:rsidR="0014200A" w:rsidRPr="00460C30" w:rsidRDefault="0014200A" w:rsidP="0014200A">
      <w:pPr>
        <w:rPr>
          <w:b/>
        </w:rPr>
      </w:pPr>
      <w:r w:rsidRPr="00460C30">
        <w:rPr>
          <w:b/>
        </w:rPr>
        <w:t>List of variables:</w:t>
      </w:r>
    </w:p>
    <w:p w:rsidR="0014200A" w:rsidRDefault="0014200A" w:rsidP="0014200A"/>
    <w:p w:rsidR="00C07306" w:rsidRDefault="00C07306" w:rsidP="00C07306">
      <w:r>
        <w:t>PLOT ID</w:t>
      </w:r>
      <w:r>
        <w:tab/>
      </w:r>
      <w:r>
        <w:tab/>
      </w:r>
      <w:r>
        <w:tab/>
        <w:t>unique Id per plot</w:t>
      </w:r>
    </w:p>
    <w:p w:rsidR="00C07306" w:rsidRDefault="00C07306" w:rsidP="00C07306">
      <w:proofErr w:type="gramStart"/>
      <w:r>
        <w:t>plot</w:t>
      </w:r>
      <w:proofErr w:type="gramEnd"/>
      <w:r>
        <w:t xml:space="preserve"> number</w:t>
      </w:r>
      <w:r>
        <w:tab/>
      </w:r>
      <w:r>
        <w:tab/>
      </w:r>
      <w:r>
        <w:tab/>
        <w:t>plot number per block</w:t>
      </w:r>
    </w:p>
    <w:p w:rsidR="00C07306" w:rsidRDefault="00C07306" w:rsidP="00C07306">
      <w:proofErr w:type="gramStart"/>
      <w:r>
        <w:t>block</w:t>
      </w:r>
      <w:proofErr w:type="gramEnd"/>
      <w:r>
        <w:t xml:space="preserve"> id</w:t>
      </w:r>
      <w:r>
        <w:tab/>
      </w:r>
      <w:r>
        <w:tab/>
      </w:r>
      <w:r>
        <w:tab/>
        <w:t>block ID (1-5)</w:t>
      </w:r>
    </w:p>
    <w:p w:rsidR="00C07306" w:rsidRDefault="00C07306" w:rsidP="00C07306">
      <w:r>
        <w:t>SPECIES</w:t>
      </w:r>
      <w:r>
        <w:tab/>
      </w:r>
      <w:r>
        <w:tab/>
      </w:r>
      <w:r>
        <w:tab/>
        <w:t>species id (abbreviation, see above)</w:t>
      </w:r>
    </w:p>
    <w:p w:rsidR="00C07306" w:rsidRDefault="00C07306" w:rsidP="00C07306">
      <w:r>
        <w:t>TREATMENT</w:t>
      </w:r>
      <w:r>
        <w:tab/>
      </w:r>
      <w:r>
        <w:tab/>
        <w:t>1 - 4 (see above)</w:t>
      </w:r>
    </w:p>
    <w:p w:rsidR="00C07306" w:rsidRDefault="00C07306" w:rsidP="00C07306">
      <w:proofErr w:type="gramStart"/>
      <w:r>
        <w:t>count</w:t>
      </w:r>
      <w:proofErr w:type="gramEnd"/>
      <w:r>
        <w:t xml:space="preserve"> autumn 1999</w:t>
      </w:r>
      <w:r>
        <w:tab/>
      </w:r>
      <w:r>
        <w:tab/>
        <w:t>total # seedlings at census</w:t>
      </w:r>
    </w:p>
    <w:p w:rsidR="00C07306" w:rsidRDefault="00C07306" w:rsidP="00C07306">
      <w:proofErr w:type="gramStart"/>
      <w:r>
        <w:t>count</w:t>
      </w:r>
      <w:proofErr w:type="gramEnd"/>
      <w:r>
        <w:t xml:space="preserve"> spring 2000</w:t>
      </w:r>
      <w:r>
        <w:tab/>
      </w:r>
      <w:r>
        <w:tab/>
        <w:t>total # seedlings at census</w:t>
      </w:r>
    </w:p>
    <w:p w:rsidR="00C07306" w:rsidRDefault="00C07306" w:rsidP="00C07306">
      <w:proofErr w:type="gramStart"/>
      <w:r>
        <w:t>count</w:t>
      </w:r>
      <w:proofErr w:type="gramEnd"/>
      <w:r>
        <w:t xml:space="preserve"> autumn 2000</w:t>
      </w:r>
      <w:r>
        <w:tab/>
      </w:r>
      <w:r>
        <w:tab/>
        <w:t>total # seedlings at census</w:t>
      </w:r>
    </w:p>
    <w:p w:rsidR="00C07306" w:rsidRDefault="00C07306" w:rsidP="00C07306">
      <w:proofErr w:type="gramStart"/>
      <w:r>
        <w:t>germination</w:t>
      </w:r>
      <w:proofErr w:type="gramEnd"/>
      <w:r>
        <w:t xml:space="preserve"> spring 2000</w:t>
      </w:r>
      <w:r>
        <w:tab/>
        <w:t xml:space="preserve"># new seedlings </w:t>
      </w:r>
      <w:proofErr w:type="spellStart"/>
      <w:r>
        <w:t>sprin</w:t>
      </w:r>
      <w:proofErr w:type="spellEnd"/>
      <w:r>
        <w:t xml:space="preserve"> 2000</w:t>
      </w:r>
    </w:p>
    <w:p w:rsidR="00C07306" w:rsidRDefault="00C07306" w:rsidP="00C07306">
      <w:proofErr w:type="gramStart"/>
      <w:r>
        <w:t>germination</w:t>
      </w:r>
      <w:proofErr w:type="gramEnd"/>
      <w:r>
        <w:t xml:space="preserve"> autumn 2000</w:t>
      </w:r>
      <w:r>
        <w:tab/>
        <w:t xml:space="preserve"># new seedlings </w:t>
      </w:r>
      <w:proofErr w:type="spellStart"/>
      <w:r>
        <w:t>sprin</w:t>
      </w:r>
      <w:proofErr w:type="spellEnd"/>
      <w:r>
        <w:t xml:space="preserve"> 2001</w:t>
      </w:r>
    </w:p>
    <w:p w:rsidR="00C07306" w:rsidRDefault="00C07306" w:rsidP="00C07306">
      <w:proofErr w:type="gramStart"/>
      <w:r>
        <w:t>mortality</w:t>
      </w:r>
      <w:proofErr w:type="gramEnd"/>
      <w:r>
        <w:t xml:space="preserve"> spring 2000</w:t>
      </w:r>
      <w:r>
        <w:tab/>
      </w:r>
      <w:r>
        <w:tab/>
        <w:t># of old seedlings lost / dead at census</w:t>
      </w:r>
    </w:p>
    <w:p w:rsidR="00C07306" w:rsidRDefault="00C07306" w:rsidP="00C07306">
      <w:proofErr w:type="gramStart"/>
      <w:r>
        <w:t>mortality</w:t>
      </w:r>
      <w:proofErr w:type="gramEnd"/>
      <w:r>
        <w:t xml:space="preserve"> autumn 2000</w:t>
      </w:r>
      <w:r>
        <w:tab/>
        <w:t># of old seedlings lost / dead at census</w:t>
      </w:r>
    </w:p>
    <w:p w:rsidR="00C07306" w:rsidRDefault="00C07306" w:rsidP="00C07306">
      <w:proofErr w:type="gramStart"/>
      <w:r>
        <w:t>germination</w:t>
      </w:r>
      <w:proofErr w:type="gramEnd"/>
      <w:r>
        <w:t xml:space="preserve"> total</w:t>
      </w:r>
      <w:r>
        <w:tab/>
      </w:r>
      <w:r>
        <w:tab/>
        <w:t xml:space="preserve">sum of unique seedlings germinated across censuses </w:t>
      </w:r>
    </w:p>
    <w:p w:rsidR="00412AF3" w:rsidRDefault="00C07306" w:rsidP="00C07306">
      <w:proofErr w:type="gramStart"/>
      <w:r>
        <w:t>mortality</w:t>
      </w:r>
      <w:proofErr w:type="gramEnd"/>
      <w:r>
        <w:t xml:space="preserve"> total</w:t>
      </w:r>
      <w:r>
        <w:tab/>
      </w:r>
      <w:r>
        <w:tab/>
      </w:r>
      <w:r>
        <w:tab/>
        <w:t>sum of unique seedlings dead across censuses</w:t>
      </w:r>
    </w:p>
    <w:p w:rsidR="00C07306" w:rsidRDefault="00C07306" w:rsidP="00412AF3"/>
    <w:p w:rsidR="00412AF3" w:rsidRDefault="00412AF3" w:rsidP="00412AF3">
      <w:r>
        <w:t>Other notes:</w:t>
      </w:r>
    </w:p>
    <w:p w:rsidR="00FA0FBE" w:rsidRDefault="00412AF3">
      <w:r>
        <w:t xml:space="preserve">Data </w:t>
      </w:r>
    </w:p>
    <w:p w:rsidR="00460C30" w:rsidRDefault="00460C30"/>
    <w:p w:rsidR="00460C30" w:rsidRPr="00460C30" w:rsidRDefault="00460C30">
      <w:pPr>
        <w:rPr>
          <w:b/>
        </w:rPr>
      </w:pPr>
      <w:r w:rsidRPr="00460C30">
        <w:rPr>
          <w:b/>
        </w:rPr>
        <w:t>Literature cited:</w:t>
      </w:r>
    </w:p>
    <w:p w:rsidR="00460C30" w:rsidRDefault="00460C30"/>
    <w:p w:rsidR="00C07306" w:rsidRDefault="00C07306" w:rsidP="00C07306">
      <w:pPr>
        <w:ind w:left="766" w:right="57" w:hanging="709"/>
      </w:pPr>
      <w:proofErr w:type="gramStart"/>
      <w:r w:rsidRPr="003D6903">
        <w:t>Baskin</w:t>
      </w:r>
      <w:r>
        <w:t>,</w:t>
      </w:r>
      <w:r w:rsidRPr="003D6903">
        <w:t xml:space="preserve"> C</w:t>
      </w:r>
      <w:r>
        <w:t>.</w:t>
      </w:r>
      <w:r w:rsidRPr="003D6903">
        <w:t>C</w:t>
      </w:r>
      <w:r>
        <w:t>.</w:t>
      </w:r>
      <w:r w:rsidRPr="003D6903">
        <w:t>, Baskin</w:t>
      </w:r>
      <w:r>
        <w:t>,</w:t>
      </w:r>
      <w:r w:rsidRPr="003D6903">
        <w:t xml:space="preserve"> </w:t>
      </w:r>
      <w:proofErr w:type="spellStart"/>
      <w:r w:rsidRPr="003D6903">
        <w:t>J</w:t>
      </w:r>
      <w:r>
        <w:t>.</w:t>
      </w:r>
      <w:r w:rsidRPr="003D6903">
        <w:t>M</w:t>
      </w:r>
      <w:proofErr w:type="spellEnd"/>
      <w:r>
        <w:t>.</w:t>
      </w:r>
      <w:r w:rsidRPr="003D6903">
        <w:t xml:space="preserve"> 20</w:t>
      </w:r>
      <w:r>
        <w:t>0</w:t>
      </w:r>
      <w:r w:rsidRPr="003D6903">
        <w:t>4.</w:t>
      </w:r>
      <w:proofErr w:type="gramEnd"/>
      <w:r w:rsidRPr="00330FBA">
        <w:t xml:space="preserve"> </w:t>
      </w:r>
      <w:proofErr w:type="gramStart"/>
      <w:r w:rsidRPr="006E3999">
        <w:t>A classification system for seed dormancy</w:t>
      </w:r>
      <w:r>
        <w:t>.</w:t>
      </w:r>
      <w:proofErr w:type="gramEnd"/>
      <w:r>
        <w:t xml:space="preserve"> </w:t>
      </w:r>
      <w:r w:rsidRPr="003D6903">
        <w:t>Seed Sci</w:t>
      </w:r>
      <w:r>
        <w:t xml:space="preserve">. </w:t>
      </w:r>
      <w:r w:rsidRPr="003D6903">
        <w:t>Res</w:t>
      </w:r>
      <w:r>
        <w:t>.</w:t>
      </w:r>
      <w:r w:rsidRPr="00330FBA">
        <w:t xml:space="preserve"> </w:t>
      </w:r>
      <w:r>
        <w:t xml:space="preserve">14: 1–16. </w:t>
      </w:r>
    </w:p>
    <w:p w:rsidR="00C07306" w:rsidRPr="00C07306" w:rsidRDefault="00C07306" w:rsidP="00C07306">
      <w:pPr>
        <w:ind w:left="766" w:right="57" w:hanging="709"/>
      </w:pPr>
      <w:r w:rsidRPr="00C07306">
        <w:t xml:space="preserve">Baskin, C.C., Baskin, </w:t>
      </w:r>
      <w:proofErr w:type="spellStart"/>
      <w:proofErr w:type="gramStart"/>
      <w:r w:rsidRPr="00C07306">
        <w:t>J.M</w:t>
      </w:r>
      <w:proofErr w:type="spellEnd"/>
      <w:r w:rsidRPr="00C07306">
        <w:t>..</w:t>
      </w:r>
      <w:proofErr w:type="gramEnd"/>
      <w:r w:rsidRPr="00C07306">
        <w:t xml:space="preserve"> 2014. Seeds. </w:t>
      </w:r>
      <w:proofErr w:type="gramStart"/>
      <w:r w:rsidRPr="00C07306">
        <w:t>Ecology, Biogeography, and Evolution of Dormancy and Germination.</w:t>
      </w:r>
      <w:proofErr w:type="gramEnd"/>
      <w:r w:rsidRPr="00C07306">
        <w:t xml:space="preserve"> </w:t>
      </w:r>
      <w:proofErr w:type="gramStart"/>
      <w:r w:rsidRPr="00C07306">
        <w:t xml:space="preserve">2nd </w:t>
      </w:r>
      <w:proofErr w:type="spellStart"/>
      <w:r w:rsidRPr="00C07306">
        <w:t>edn</w:t>
      </w:r>
      <w:proofErr w:type="spellEnd"/>
      <w:r w:rsidRPr="00C07306">
        <w:t>.</w:t>
      </w:r>
      <w:proofErr w:type="gramEnd"/>
      <w:r w:rsidRPr="00C07306">
        <w:t xml:space="preserve"> San Diego: Elsevier </w:t>
      </w:r>
    </w:p>
    <w:p w:rsidR="00C07306" w:rsidRPr="00330FBA" w:rsidRDefault="00C07306" w:rsidP="00C07306">
      <w:pPr>
        <w:ind w:left="766" w:right="57" w:hanging="709"/>
      </w:pPr>
      <w:proofErr w:type="gramStart"/>
      <w:r w:rsidRPr="003D6903">
        <w:t>Grime</w:t>
      </w:r>
      <w:r>
        <w:t>,</w:t>
      </w:r>
      <w:r w:rsidRPr="003D6903">
        <w:t xml:space="preserve"> J</w:t>
      </w:r>
      <w:r>
        <w:t>.</w:t>
      </w:r>
      <w:r w:rsidRPr="003D6903">
        <w:t>P</w:t>
      </w:r>
      <w:r>
        <w:t>.</w:t>
      </w:r>
      <w:r w:rsidRPr="003D6903">
        <w:t>, Mason</w:t>
      </w:r>
      <w:r>
        <w:t>,</w:t>
      </w:r>
      <w:r w:rsidRPr="003D6903">
        <w:t xml:space="preserve"> G</w:t>
      </w:r>
      <w:r>
        <w:t>.</w:t>
      </w:r>
      <w:r w:rsidRPr="003D6903">
        <w:t>, Curtis</w:t>
      </w:r>
      <w:r>
        <w:t>,</w:t>
      </w:r>
      <w:r w:rsidRPr="003D6903">
        <w:t xml:space="preserve"> </w:t>
      </w:r>
      <w:proofErr w:type="spellStart"/>
      <w:r w:rsidRPr="003D6903">
        <w:t>A</w:t>
      </w:r>
      <w:r>
        <w:t>.</w:t>
      </w:r>
      <w:r w:rsidRPr="003D6903">
        <w:t>V</w:t>
      </w:r>
      <w:proofErr w:type="spellEnd"/>
      <w:r>
        <w:t>.</w:t>
      </w:r>
      <w:r w:rsidRPr="003D6903">
        <w:t>, et al. 1981.</w:t>
      </w:r>
      <w:proofErr w:type="gramEnd"/>
      <w:r w:rsidRPr="00330FBA">
        <w:t xml:space="preserve"> </w:t>
      </w:r>
      <w:proofErr w:type="gramStart"/>
      <w:r w:rsidRPr="00330FBA">
        <w:t>A comparative study of germination characteristics in a local flora.</w:t>
      </w:r>
      <w:proofErr w:type="gramEnd"/>
      <w:r w:rsidRPr="00330FBA">
        <w:t xml:space="preserve"> </w:t>
      </w:r>
      <w:r w:rsidRPr="003D6903">
        <w:t>J</w:t>
      </w:r>
      <w:r>
        <w:t xml:space="preserve">. </w:t>
      </w:r>
      <w:r w:rsidRPr="003D6903">
        <w:t>Ecol</w:t>
      </w:r>
      <w:r>
        <w:t>.</w:t>
      </w:r>
      <w:r w:rsidRPr="00330FBA">
        <w:t xml:space="preserve"> </w:t>
      </w:r>
      <w:r w:rsidRPr="00330FBA">
        <w:rPr>
          <w:b/>
          <w:bCs/>
        </w:rPr>
        <w:t>69</w:t>
      </w:r>
      <w:r w:rsidRPr="00330FBA">
        <w:t>: 1017</w:t>
      </w:r>
      <w:r>
        <w:t>–</w:t>
      </w:r>
      <w:r w:rsidRPr="00330FBA">
        <w:t>1059.</w:t>
      </w:r>
    </w:p>
    <w:p w:rsidR="00C07306" w:rsidRPr="00C07306" w:rsidRDefault="00C07306" w:rsidP="00C07306">
      <w:pPr>
        <w:ind w:left="766" w:right="57" w:hanging="709"/>
        <w:rPr>
          <w:lang w:val="nn-NO"/>
        </w:rPr>
      </w:pPr>
      <w:r w:rsidRPr="003D6903">
        <w:t>Hoyle</w:t>
      </w:r>
      <w:r>
        <w:t>,</w:t>
      </w:r>
      <w:r w:rsidRPr="003D6903">
        <w:t xml:space="preserve"> </w:t>
      </w:r>
      <w:proofErr w:type="spellStart"/>
      <w:r w:rsidRPr="003D6903">
        <w:t>G</w:t>
      </w:r>
      <w:r>
        <w:t>.</w:t>
      </w:r>
      <w:r w:rsidRPr="003D6903">
        <w:t>L</w:t>
      </w:r>
      <w:proofErr w:type="spellEnd"/>
      <w:r>
        <w:t>.</w:t>
      </w:r>
      <w:r w:rsidRPr="003D6903">
        <w:t>, Venn</w:t>
      </w:r>
      <w:r>
        <w:t>,</w:t>
      </w:r>
      <w:r w:rsidRPr="003D6903">
        <w:t xml:space="preserve"> S</w:t>
      </w:r>
      <w:r>
        <w:t>.</w:t>
      </w:r>
      <w:r w:rsidRPr="003D6903">
        <w:t>E</w:t>
      </w:r>
      <w:r>
        <w:t>.</w:t>
      </w:r>
      <w:r w:rsidRPr="003D6903">
        <w:t>, Steadman</w:t>
      </w:r>
      <w:r>
        <w:t>,</w:t>
      </w:r>
      <w:r w:rsidRPr="003D6903">
        <w:t xml:space="preserve"> </w:t>
      </w:r>
      <w:proofErr w:type="spellStart"/>
      <w:r w:rsidRPr="003D6903">
        <w:t>K</w:t>
      </w:r>
      <w:r>
        <w:t>.</w:t>
      </w:r>
      <w:r w:rsidRPr="003D6903">
        <w:t>J</w:t>
      </w:r>
      <w:proofErr w:type="spellEnd"/>
      <w:r>
        <w:t>.</w:t>
      </w:r>
      <w:r w:rsidRPr="003D6903">
        <w:t>, Good</w:t>
      </w:r>
      <w:r>
        <w:t>,</w:t>
      </w:r>
      <w:r w:rsidRPr="003D6903">
        <w:t xml:space="preserve"> </w:t>
      </w:r>
      <w:proofErr w:type="spellStart"/>
      <w:r w:rsidRPr="003D6903">
        <w:t>R</w:t>
      </w:r>
      <w:r>
        <w:t>.</w:t>
      </w:r>
      <w:r w:rsidRPr="003D6903">
        <w:t>B</w:t>
      </w:r>
      <w:proofErr w:type="spellEnd"/>
      <w:r>
        <w:t>.</w:t>
      </w:r>
      <w:r w:rsidRPr="003D6903">
        <w:t xml:space="preserve">, </w:t>
      </w:r>
      <w:proofErr w:type="spellStart"/>
      <w:r w:rsidRPr="003D6903">
        <w:t>Mcauliffe</w:t>
      </w:r>
      <w:proofErr w:type="spellEnd"/>
      <w:r>
        <w:t>,</w:t>
      </w:r>
      <w:r w:rsidRPr="003D6903">
        <w:t xml:space="preserve"> </w:t>
      </w:r>
      <w:proofErr w:type="spellStart"/>
      <w:r w:rsidRPr="003D6903">
        <w:t>E</w:t>
      </w:r>
      <w:r>
        <w:t>.</w:t>
      </w:r>
      <w:r w:rsidRPr="003D6903">
        <w:t>J</w:t>
      </w:r>
      <w:proofErr w:type="spellEnd"/>
      <w:r>
        <w:t>.</w:t>
      </w:r>
      <w:r w:rsidRPr="003D6903">
        <w:t>, Williams</w:t>
      </w:r>
      <w:r>
        <w:t>,</w:t>
      </w:r>
      <w:r w:rsidRPr="003D6903">
        <w:t xml:space="preserve"> </w:t>
      </w:r>
      <w:proofErr w:type="spellStart"/>
      <w:r w:rsidRPr="003D6903">
        <w:t>E</w:t>
      </w:r>
      <w:r>
        <w:t>.</w:t>
      </w:r>
      <w:r w:rsidRPr="003D6903">
        <w:t>R</w:t>
      </w:r>
      <w:proofErr w:type="spellEnd"/>
      <w:r>
        <w:t>.</w:t>
      </w:r>
      <w:r w:rsidRPr="003D6903">
        <w:t xml:space="preserve">, </w:t>
      </w:r>
      <w:r>
        <w:t xml:space="preserve">and </w:t>
      </w:r>
      <w:r w:rsidRPr="003D6903">
        <w:t>Nicotra</w:t>
      </w:r>
      <w:r>
        <w:t>,</w:t>
      </w:r>
      <w:r w:rsidRPr="003D6903">
        <w:t xml:space="preserve"> </w:t>
      </w:r>
      <w:proofErr w:type="spellStart"/>
      <w:r w:rsidRPr="003D6903">
        <w:t>A</w:t>
      </w:r>
      <w:r>
        <w:t>.</w:t>
      </w:r>
      <w:r w:rsidRPr="003D6903">
        <w:t>B</w:t>
      </w:r>
      <w:proofErr w:type="spellEnd"/>
      <w:r w:rsidRPr="003D6903">
        <w:t>. 2013.</w:t>
      </w:r>
      <w:r w:rsidRPr="00330FBA">
        <w:t xml:space="preserve"> Soil warming increases plant species richness but decreases germination from the alpine soil seed bank. </w:t>
      </w:r>
      <w:proofErr w:type="gramStart"/>
      <w:r w:rsidRPr="003D6903">
        <w:t>Glob</w:t>
      </w:r>
      <w:r>
        <w:t>.</w:t>
      </w:r>
      <w:proofErr w:type="gramEnd"/>
      <w:r w:rsidRPr="003D6903">
        <w:t xml:space="preserve"> Change Biol</w:t>
      </w:r>
      <w:r>
        <w:t>.</w:t>
      </w:r>
      <w:r w:rsidRPr="003D6903">
        <w:t xml:space="preserve"> </w:t>
      </w:r>
      <w:r w:rsidRPr="00330FBA">
        <w:rPr>
          <w:b/>
        </w:rPr>
        <w:t>19</w:t>
      </w:r>
      <w:r w:rsidRPr="00330FBA">
        <w:t>: 1549</w:t>
      </w:r>
      <w:r>
        <w:t>–</w:t>
      </w:r>
      <w:r w:rsidRPr="00330FBA">
        <w:t xml:space="preserve">1561. </w:t>
      </w:r>
      <w:proofErr w:type="spellStart"/>
      <w:r w:rsidRPr="00330FBA">
        <w:t>DOI</w:t>
      </w:r>
      <w:proofErr w:type="spellEnd"/>
      <w:r w:rsidRPr="00330FBA">
        <w:t>: 10.1111/gcb.12135</w:t>
      </w:r>
    </w:p>
    <w:p w:rsidR="00C07306" w:rsidRDefault="00C07306" w:rsidP="00C07306">
      <w:pPr>
        <w:ind w:left="766" w:right="57" w:hanging="709"/>
        <w:rPr>
          <w:lang w:val="nn-NO"/>
        </w:rPr>
      </w:pPr>
      <w:proofErr w:type="gramStart"/>
      <w:r w:rsidRPr="003D6903">
        <w:lastRenderedPageBreak/>
        <w:t>Lid</w:t>
      </w:r>
      <w:r>
        <w:t>,</w:t>
      </w:r>
      <w:r w:rsidRPr="003D6903">
        <w:t xml:space="preserve"> J</w:t>
      </w:r>
      <w:r>
        <w:t>.</w:t>
      </w:r>
      <w:r w:rsidRPr="003D6903">
        <w:t xml:space="preserve">, </w:t>
      </w:r>
      <w:r>
        <w:t xml:space="preserve">and </w:t>
      </w:r>
      <w:r w:rsidRPr="003D6903">
        <w:t>Lid</w:t>
      </w:r>
      <w:r>
        <w:t>,</w:t>
      </w:r>
      <w:r w:rsidRPr="003D6903">
        <w:t xml:space="preserve"> D</w:t>
      </w:r>
      <w:r>
        <w:t>.</w:t>
      </w:r>
      <w:r w:rsidRPr="003D6903">
        <w:t>T. 2005.</w:t>
      </w:r>
      <w:proofErr w:type="gramEnd"/>
      <w:r w:rsidRPr="00330FBA">
        <w:t xml:space="preserve"> </w:t>
      </w:r>
      <w:r w:rsidRPr="00330FBA">
        <w:rPr>
          <w:lang w:val="nb-NO"/>
        </w:rPr>
        <w:t xml:space="preserve">Norsk flora. </w:t>
      </w:r>
      <w:r w:rsidRPr="00330FBA">
        <w:rPr>
          <w:iCs/>
          <w:lang w:val="nn-NO"/>
        </w:rPr>
        <w:t>Ed.</w:t>
      </w:r>
      <w:r w:rsidRPr="003D6903">
        <w:rPr>
          <w:iCs/>
          <w:lang w:val="nn-NO"/>
        </w:rPr>
        <w:t xml:space="preserve"> </w:t>
      </w:r>
      <w:r w:rsidRPr="00330FBA">
        <w:rPr>
          <w:iCs/>
          <w:lang w:val="nn-NO"/>
        </w:rPr>
        <w:t>by</w:t>
      </w:r>
      <w:r w:rsidRPr="00330FBA">
        <w:rPr>
          <w:lang w:val="nn-NO"/>
        </w:rPr>
        <w:t xml:space="preserve"> R. El</w:t>
      </w:r>
      <w:r>
        <w:rPr>
          <w:lang w:val="nn-NO"/>
        </w:rPr>
        <w:t>ven. Det norske samlaget, Oslo.</w:t>
      </w:r>
    </w:p>
    <w:p w:rsidR="00C07306" w:rsidRPr="00C07306" w:rsidRDefault="00C07306" w:rsidP="00C07306">
      <w:pPr>
        <w:ind w:left="766" w:right="57" w:hanging="709"/>
      </w:pPr>
      <w:proofErr w:type="gramStart"/>
      <w:r w:rsidRPr="00C07306">
        <w:t>Vandvik, V., Elven, R., Töpper, J. 2016.</w:t>
      </w:r>
      <w:proofErr w:type="gramEnd"/>
      <w:r w:rsidRPr="00C07306">
        <w:t xml:space="preserve"> </w:t>
      </w:r>
      <w:r w:rsidRPr="00C07306">
        <w:t>Seedling recruitment in subalpine grassland forbs: Predicting field regeneration behaviour from lab germination responses</w:t>
      </w:r>
      <w:r w:rsidRPr="00C07306">
        <w:t xml:space="preserve">. Botany xx: xx–xx. </w:t>
      </w:r>
      <w:proofErr w:type="spellStart"/>
      <w:r w:rsidRPr="00C07306">
        <w:t>Doi</w:t>
      </w:r>
      <w:proofErr w:type="spellEnd"/>
      <w:r w:rsidRPr="00C07306">
        <w:t xml:space="preserve">: </w:t>
      </w:r>
      <w:r w:rsidRPr="00C07306">
        <w:t>10.1139/cjb-2016-0022</w:t>
      </w:r>
      <w:r w:rsidRPr="00C07306">
        <w:t xml:space="preserve"> </w:t>
      </w:r>
    </w:p>
    <w:sectPr w:rsidR="00C07306" w:rsidRPr="00C073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A257D"/>
    <w:multiLevelType w:val="hybridMultilevel"/>
    <w:tmpl w:val="E302751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AF3"/>
    <w:rsid w:val="0014200A"/>
    <w:rsid w:val="00412AF3"/>
    <w:rsid w:val="00460C30"/>
    <w:rsid w:val="00930EF1"/>
    <w:rsid w:val="00BD4C46"/>
    <w:rsid w:val="00C07306"/>
    <w:rsid w:val="00F60CF5"/>
    <w:rsid w:val="00FA0F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AF3"/>
    <w:pPr>
      <w:spacing w:after="0" w:line="240" w:lineRule="auto"/>
    </w:pPr>
    <w:rPr>
      <w:rFonts w:ascii="Times New Roman" w:eastAsia="Calibri"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2AF3"/>
    <w:pPr>
      <w:tabs>
        <w:tab w:val="center" w:pos="4536"/>
        <w:tab w:val="right" w:pos="9072"/>
      </w:tabs>
    </w:pPr>
    <w:rPr>
      <w:rFonts w:eastAsia="Times New Roman"/>
      <w:szCs w:val="20"/>
      <w:lang w:val="nb-NO" w:eastAsia="nb-NO"/>
    </w:rPr>
  </w:style>
  <w:style w:type="character" w:customStyle="1" w:styleId="HeaderChar">
    <w:name w:val="Header Char"/>
    <w:basedOn w:val="DefaultParagraphFont"/>
    <w:link w:val="Header"/>
    <w:uiPriority w:val="99"/>
    <w:rsid w:val="00412AF3"/>
    <w:rPr>
      <w:rFonts w:ascii="Times New Roman" w:eastAsia="Times New Roman" w:hAnsi="Times New Roman" w:cs="Times New Roman"/>
      <w:sz w:val="24"/>
      <w:szCs w:val="20"/>
      <w:lang w:eastAsia="nb-NO"/>
    </w:rPr>
  </w:style>
  <w:style w:type="character" w:styleId="Hyperlink">
    <w:name w:val="Hyperlink"/>
    <w:uiPriority w:val="99"/>
    <w:semiHidden/>
    <w:rsid w:val="00412AF3"/>
    <w:rPr>
      <w:color w:val="0000FF"/>
      <w:u w:val="single"/>
    </w:rPr>
  </w:style>
  <w:style w:type="paragraph" w:styleId="BodyText">
    <w:name w:val="Body Text"/>
    <w:basedOn w:val="Normal"/>
    <w:link w:val="BodyTextChar"/>
    <w:semiHidden/>
    <w:rsid w:val="00460C30"/>
    <w:rPr>
      <w:rFonts w:eastAsia="Times New Roman"/>
      <w:b/>
      <w:bCs/>
      <w:lang w:val="en-GB" w:eastAsia="nb-NO"/>
    </w:rPr>
  </w:style>
  <w:style w:type="character" w:customStyle="1" w:styleId="BodyTextChar">
    <w:name w:val="Body Text Char"/>
    <w:basedOn w:val="DefaultParagraphFont"/>
    <w:link w:val="BodyText"/>
    <w:semiHidden/>
    <w:rsid w:val="00460C30"/>
    <w:rPr>
      <w:rFonts w:ascii="Times New Roman" w:eastAsia="Times New Roman" w:hAnsi="Times New Roman" w:cs="Times New Roman"/>
      <w:b/>
      <w:bCs/>
      <w:sz w:val="24"/>
      <w:szCs w:val="24"/>
      <w:lang w:val="en-GB" w:eastAsia="nb-NO"/>
    </w:rPr>
  </w:style>
  <w:style w:type="paragraph" w:styleId="BodyTextIndent2">
    <w:name w:val="Body Text Indent 2"/>
    <w:basedOn w:val="Normal"/>
    <w:link w:val="BodyTextIndent2Char"/>
    <w:uiPriority w:val="99"/>
    <w:semiHidden/>
    <w:unhideWhenUsed/>
    <w:rsid w:val="00C07306"/>
    <w:pPr>
      <w:spacing w:after="120" w:line="480" w:lineRule="auto"/>
      <w:ind w:left="283"/>
    </w:pPr>
  </w:style>
  <w:style w:type="character" w:customStyle="1" w:styleId="BodyTextIndent2Char">
    <w:name w:val="Body Text Indent 2 Char"/>
    <w:basedOn w:val="DefaultParagraphFont"/>
    <w:link w:val="BodyTextIndent2"/>
    <w:uiPriority w:val="99"/>
    <w:semiHidden/>
    <w:rsid w:val="00C07306"/>
    <w:rPr>
      <w:rFonts w:ascii="Times New Roman" w:eastAsia="Calibri"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AF3"/>
    <w:pPr>
      <w:spacing w:after="0" w:line="240" w:lineRule="auto"/>
    </w:pPr>
    <w:rPr>
      <w:rFonts w:ascii="Times New Roman" w:eastAsia="Calibri"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2AF3"/>
    <w:pPr>
      <w:tabs>
        <w:tab w:val="center" w:pos="4536"/>
        <w:tab w:val="right" w:pos="9072"/>
      </w:tabs>
    </w:pPr>
    <w:rPr>
      <w:rFonts w:eastAsia="Times New Roman"/>
      <w:szCs w:val="20"/>
      <w:lang w:val="nb-NO" w:eastAsia="nb-NO"/>
    </w:rPr>
  </w:style>
  <w:style w:type="character" w:customStyle="1" w:styleId="HeaderChar">
    <w:name w:val="Header Char"/>
    <w:basedOn w:val="DefaultParagraphFont"/>
    <w:link w:val="Header"/>
    <w:uiPriority w:val="99"/>
    <w:rsid w:val="00412AF3"/>
    <w:rPr>
      <w:rFonts w:ascii="Times New Roman" w:eastAsia="Times New Roman" w:hAnsi="Times New Roman" w:cs="Times New Roman"/>
      <w:sz w:val="24"/>
      <w:szCs w:val="20"/>
      <w:lang w:eastAsia="nb-NO"/>
    </w:rPr>
  </w:style>
  <w:style w:type="character" w:styleId="Hyperlink">
    <w:name w:val="Hyperlink"/>
    <w:uiPriority w:val="99"/>
    <w:semiHidden/>
    <w:rsid w:val="00412AF3"/>
    <w:rPr>
      <w:color w:val="0000FF"/>
      <w:u w:val="single"/>
    </w:rPr>
  </w:style>
  <w:style w:type="paragraph" w:styleId="BodyText">
    <w:name w:val="Body Text"/>
    <w:basedOn w:val="Normal"/>
    <w:link w:val="BodyTextChar"/>
    <w:semiHidden/>
    <w:rsid w:val="00460C30"/>
    <w:rPr>
      <w:rFonts w:eastAsia="Times New Roman"/>
      <w:b/>
      <w:bCs/>
      <w:lang w:val="en-GB" w:eastAsia="nb-NO"/>
    </w:rPr>
  </w:style>
  <w:style w:type="character" w:customStyle="1" w:styleId="BodyTextChar">
    <w:name w:val="Body Text Char"/>
    <w:basedOn w:val="DefaultParagraphFont"/>
    <w:link w:val="BodyText"/>
    <w:semiHidden/>
    <w:rsid w:val="00460C30"/>
    <w:rPr>
      <w:rFonts w:ascii="Times New Roman" w:eastAsia="Times New Roman" w:hAnsi="Times New Roman" w:cs="Times New Roman"/>
      <w:b/>
      <w:bCs/>
      <w:sz w:val="24"/>
      <w:szCs w:val="24"/>
      <w:lang w:val="en-GB" w:eastAsia="nb-NO"/>
    </w:rPr>
  </w:style>
  <w:style w:type="paragraph" w:styleId="BodyTextIndent2">
    <w:name w:val="Body Text Indent 2"/>
    <w:basedOn w:val="Normal"/>
    <w:link w:val="BodyTextIndent2Char"/>
    <w:uiPriority w:val="99"/>
    <w:semiHidden/>
    <w:unhideWhenUsed/>
    <w:rsid w:val="00C07306"/>
    <w:pPr>
      <w:spacing w:after="120" w:line="480" w:lineRule="auto"/>
      <w:ind w:left="283"/>
    </w:pPr>
  </w:style>
  <w:style w:type="character" w:customStyle="1" w:styleId="BodyTextIndent2Char">
    <w:name w:val="Body Text Indent 2 Char"/>
    <w:basedOn w:val="DefaultParagraphFont"/>
    <w:link w:val="BodyTextIndent2"/>
    <w:uiPriority w:val="99"/>
    <w:semiHidden/>
    <w:rsid w:val="00C07306"/>
    <w:rPr>
      <w:rFonts w:ascii="Times New Roman" w:eastAsia="Calibr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4474">
      <w:bodyDiv w:val="1"/>
      <w:marLeft w:val="0"/>
      <w:marRight w:val="0"/>
      <w:marTop w:val="0"/>
      <w:marBottom w:val="0"/>
      <w:divBdr>
        <w:top w:val="none" w:sz="0" w:space="0" w:color="auto"/>
        <w:left w:val="none" w:sz="0" w:space="0" w:color="auto"/>
        <w:bottom w:val="none" w:sz="0" w:space="0" w:color="auto"/>
        <w:right w:val="none" w:sz="0" w:space="0" w:color="auto"/>
      </w:divBdr>
    </w:div>
    <w:div w:id="185676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bu.no/tjenester/sentre/skp" TargetMode="External"/><Relationship Id="rId3" Type="http://schemas.openxmlformats.org/officeDocument/2006/relationships/styles" Target="styles.xml"/><Relationship Id="rId7" Type="http://schemas.openxmlformats.org/officeDocument/2006/relationships/hyperlink" Target="http://www.ipni.org/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A3B0C0E-4E84-4582-93D6-5ED724B7D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BEEEE7F5.dotm</Template>
  <TotalTime>157</TotalTime>
  <Pages>4</Pages>
  <Words>1564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UiB</Company>
  <LinksUpToDate>false</LinksUpToDate>
  <CharactersWithSpaces>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Vigdis Vandvik</dc:creator>
  <cp:lastModifiedBy>Vigdis Vandvik</cp:lastModifiedBy>
  <cp:revision>2</cp:revision>
  <dcterms:created xsi:type="dcterms:W3CDTF">2016-07-08T11:36:00Z</dcterms:created>
  <dcterms:modified xsi:type="dcterms:W3CDTF">2016-07-08T14:51:00Z</dcterms:modified>
</cp:coreProperties>
</file>