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04" w:rsidRDefault="005E5B04" w:rsidP="005E5B04">
      <w:pPr>
        <w:pStyle w:val="Caption"/>
      </w:pPr>
      <w:bookmarkStart w:id="0" w:name="_Ref529786356"/>
      <w:bookmarkStart w:id="1" w:name="_Ref1655544"/>
      <w:r>
        <w:t xml:space="preserve">Table </w:t>
      </w:r>
      <w:bookmarkEnd w:id="0"/>
      <w:bookmarkEnd w:id="1"/>
      <w:r w:rsidR="00CD7CD6">
        <w:t>e-</w:t>
      </w:r>
      <w:r>
        <w:rPr>
          <w:noProof/>
        </w:rPr>
        <w:t>3</w:t>
      </w:r>
      <w:r>
        <w:t>:</w:t>
      </w:r>
      <w:r w:rsidRPr="009A37A7">
        <w:t xml:space="preserve"> </w:t>
      </w:r>
      <w:r w:rsidRPr="00975899">
        <w:t xml:space="preserve">Sleep parameters in male and female </w:t>
      </w:r>
      <w:r>
        <w:t>subjects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1132"/>
        <w:gridCol w:w="869"/>
        <w:gridCol w:w="1029"/>
        <w:gridCol w:w="1031"/>
        <w:gridCol w:w="1060"/>
        <w:gridCol w:w="1031"/>
        <w:gridCol w:w="1029"/>
        <w:gridCol w:w="1031"/>
        <w:gridCol w:w="1029"/>
        <w:gridCol w:w="1031"/>
      </w:tblGrid>
      <w:tr w:rsidR="005E5B04" w:rsidRPr="000F4B93" w:rsidTr="00D45C3E">
        <w:tc>
          <w:tcPr>
            <w:tcW w:w="2688" w:type="dxa"/>
            <w:vMerge w:val="restart"/>
            <w:tcBorders>
              <w:top w:val="single" w:sz="4" w:space="0" w:color="auto"/>
            </w:tcBorders>
            <w:vAlign w:val="bottom"/>
          </w:tcPr>
          <w:p w:rsidR="005E5B04" w:rsidRPr="000F4B93" w:rsidRDefault="005E5B04" w:rsidP="009E1061">
            <w:pPr>
              <w:rPr>
                <w:rFonts w:cs="Times New Roman"/>
              </w:rPr>
            </w:pPr>
            <w:r w:rsidRPr="000F4B93">
              <w:rPr>
                <w:rFonts w:cs="Times New Roman"/>
              </w:rPr>
              <w:t>Mean (SD)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Placebo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(N=54)</w:t>
            </w:r>
          </w:p>
        </w:tc>
        <w:tc>
          <w:tcPr>
            <w:tcW w:w="82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bookmarkStart w:id="2" w:name="_GoBack"/>
            <w:bookmarkEnd w:id="2"/>
            <w:r w:rsidRPr="00D45C3E">
              <w:rPr>
                <w:rFonts w:cs="Times New Roman"/>
              </w:rPr>
              <w:t>Daridorexant</w:t>
            </w:r>
          </w:p>
        </w:tc>
      </w:tr>
      <w:tr w:rsidR="005E5B04" w:rsidRPr="000F4B93" w:rsidTr="009E1061">
        <w:tc>
          <w:tcPr>
            <w:tcW w:w="2688" w:type="dxa"/>
            <w:vMerge/>
          </w:tcPr>
          <w:p w:rsidR="005E5B04" w:rsidRPr="000F4B93" w:rsidRDefault="005E5B04" w:rsidP="009E1061">
            <w:pPr>
              <w:rPr>
                <w:rFonts w:cs="Times New Roman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5 mg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(N=56)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10 mg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(N=54)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25 mg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(N=55)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50 mg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(N=56)</w:t>
            </w:r>
          </w:p>
        </w:tc>
      </w:tr>
      <w:tr w:rsidR="005E5B04" w:rsidRPr="000F4B93" w:rsidTr="009E1061"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5E5B04" w:rsidRPr="000F4B93" w:rsidRDefault="005E5B04" w:rsidP="009E1061">
            <w:pPr>
              <w:rPr>
                <w:rFonts w:cs="Times New Roman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Male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(n=18)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Female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(n=36)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Male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(n=19)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Female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(n=37)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Male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(n=18)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Female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(n=36)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Male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(n=19)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Female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(n=36)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Male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(n=18)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Female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(n=38)</w:t>
            </w:r>
          </w:p>
        </w:tc>
      </w:tr>
      <w:tr w:rsidR="005E5B04" w:rsidRPr="000F4B93" w:rsidTr="009E1061">
        <w:tc>
          <w:tcPr>
            <w:tcW w:w="2688" w:type="dxa"/>
            <w:tcBorders>
              <w:top w:val="single" w:sz="4" w:space="0" w:color="auto"/>
            </w:tcBorders>
          </w:tcPr>
          <w:p w:rsidR="005E5B04" w:rsidRPr="000F4B93" w:rsidRDefault="005E5B04" w:rsidP="009E1061">
            <w:pPr>
              <w:rPr>
                <w:rFonts w:cs="Times New Roman"/>
                <w:b/>
              </w:rPr>
            </w:pPr>
            <w:r w:rsidRPr="000F4B93">
              <w:rPr>
                <w:rFonts w:cs="Times New Roman"/>
                <w:b/>
              </w:rPr>
              <w:t xml:space="preserve">Primary endpoint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</w:tr>
      <w:tr w:rsidR="005E5B04" w:rsidRPr="000F4B93" w:rsidTr="009E1061">
        <w:tc>
          <w:tcPr>
            <w:tcW w:w="2688" w:type="dxa"/>
          </w:tcPr>
          <w:p w:rsidR="005E5B04" w:rsidRPr="000F4B93" w:rsidRDefault="005E5B04" w:rsidP="009E1061">
            <w:pPr>
              <w:rPr>
                <w:rFonts w:cs="Times New Roman"/>
              </w:rPr>
            </w:pPr>
            <w:r w:rsidRPr="000F4B93">
              <w:rPr>
                <w:rFonts w:cs="Times New Roman"/>
              </w:rPr>
              <w:t>WASO, min</w:t>
            </w:r>
          </w:p>
        </w:tc>
        <w:tc>
          <w:tcPr>
            <w:tcW w:w="1132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86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60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</w:tr>
      <w:tr w:rsidR="005E5B04" w:rsidRPr="000F4B93" w:rsidTr="009E1061">
        <w:tc>
          <w:tcPr>
            <w:tcW w:w="2688" w:type="dxa"/>
          </w:tcPr>
          <w:p w:rsidR="005E5B04" w:rsidRPr="000F4B93" w:rsidRDefault="005E5B04" w:rsidP="009E1061">
            <w:pPr>
              <w:ind w:left="175"/>
              <w:rPr>
                <w:rFonts w:cs="Times New Roman"/>
              </w:rPr>
            </w:pPr>
            <w:r w:rsidRPr="000F4B93">
              <w:rPr>
                <w:rFonts w:cs="Times New Roman"/>
              </w:rPr>
              <w:t>Baseline</w:t>
            </w:r>
          </w:p>
        </w:tc>
        <w:tc>
          <w:tcPr>
            <w:tcW w:w="1132" w:type="dxa"/>
            <w:vAlign w:val="center"/>
          </w:tcPr>
          <w:p w:rsidR="005E5B04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 xml:space="preserve">129.5 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(35.9)</w:t>
            </w:r>
          </w:p>
        </w:tc>
        <w:tc>
          <w:tcPr>
            <w:tcW w:w="86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111.7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(40.6)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124.5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(41.2)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112.7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(40.4)</w:t>
            </w:r>
          </w:p>
        </w:tc>
        <w:tc>
          <w:tcPr>
            <w:tcW w:w="1060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129.5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(35.9)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111.7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(40.6)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124.5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(41.2)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111.7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(40.6)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129.5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(35.9)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110.0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(40.6)</w:t>
            </w:r>
          </w:p>
        </w:tc>
      </w:tr>
      <w:tr w:rsidR="005E5B04" w:rsidRPr="000F4B93" w:rsidTr="009E1061">
        <w:tc>
          <w:tcPr>
            <w:tcW w:w="2688" w:type="dxa"/>
          </w:tcPr>
          <w:p w:rsidR="005E5B04" w:rsidRPr="000F4B93" w:rsidRDefault="005E5B04" w:rsidP="009E1061">
            <w:pPr>
              <w:ind w:left="175"/>
              <w:rPr>
                <w:rFonts w:cs="Times New Roman"/>
              </w:rPr>
            </w:pPr>
            <w:r w:rsidRPr="000F4B93">
              <w:rPr>
                <w:rFonts w:cs="Times New Roman"/>
              </w:rPr>
              <w:t>Change at Days 1&amp;2</w:t>
            </w:r>
          </w:p>
        </w:tc>
        <w:tc>
          <w:tcPr>
            <w:tcW w:w="1132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–12.6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(42.7)</w:t>
            </w:r>
          </w:p>
        </w:tc>
        <w:tc>
          <w:tcPr>
            <w:tcW w:w="86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–14.9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(48.5)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–20.7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(39.6)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</w:t>
            </w:r>
            <w:r>
              <w:rPr>
                <w:rFonts w:cs="Times New Roman"/>
              </w:rPr>
              <w:t>17.3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(54.</w:t>
            </w:r>
            <w:r>
              <w:rPr>
                <w:rFonts w:cs="Times New Roman"/>
              </w:rPr>
              <w:t>7</w:t>
            </w:r>
            <w:r w:rsidRPr="000F4B93">
              <w:rPr>
                <w:rFonts w:cs="Times New Roman"/>
              </w:rPr>
              <w:t>)</w:t>
            </w:r>
          </w:p>
        </w:tc>
        <w:tc>
          <w:tcPr>
            <w:tcW w:w="1060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–28.7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(29.6)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–34.2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(42.5)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–41.8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(46.5)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–45.5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(45.2)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–65.9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(30.4)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–58.8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(46.9)</w:t>
            </w:r>
          </w:p>
        </w:tc>
      </w:tr>
      <w:tr w:rsidR="005E5B04" w:rsidRPr="000F4B93" w:rsidTr="009E1061">
        <w:trPr>
          <w:trHeight w:val="265"/>
        </w:trPr>
        <w:tc>
          <w:tcPr>
            <w:tcW w:w="2688" w:type="dxa"/>
          </w:tcPr>
          <w:p w:rsidR="005E5B04" w:rsidRPr="000F4B93" w:rsidRDefault="005E5B04" w:rsidP="009E1061">
            <w:pPr>
              <w:rPr>
                <w:rFonts w:cs="Times New Roman"/>
                <w:b/>
              </w:rPr>
            </w:pPr>
            <w:r w:rsidRPr="000F4B93">
              <w:rPr>
                <w:rFonts w:cs="Times New Roman"/>
                <w:b/>
              </w:rPr>
              <w:t>Secondary endpoint</w:t>
            </w:r>
          </w:p>
        </w:tc>
        <w:tc>
          <w:tcPr>
            <w:tcW w:w="1132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86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60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</w:tr>
      <w:tr w:rsidR="005E5B04" w:rsidRPr="000F4B93" w:rsidTr="009E1061">
        <w:tc>
          <w:tcPr>
            <w:tcW w:w="2688" w:type="dxa"/>
          </w:tcPr>
          <w:p w:rsidR="005E5B04" w:rsidRPr="000F4B93" w:rsidRDefault="005E5B04" w:rsidP="009E1061">
            <w:pPr>
              <w:rPr>
                <w:rFonts w:cs="Times New Roman"/>
              </w:rPr>
            </w:pPr>
            <w:r w:rsidRPr="000F4B93">
              <w:rPr>
                <w:rFonts w:cs="Times New Roman"/>
              </w:rPr>
              <w:t>LPS</w:t>
            </w:r>
          </w:p>
        </w:tc>
        <w:tc>
          <w:tcPr>
            <w:tcW w:w="1132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86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60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</w:tr>
      <w:tr w:rsidR="005E5B04" w:rsidRPr="000F4B93" w:rsidTr="009E1061">
        <w:tc>
          <w:tcPr>
            <w:tcW w:w="2688" w:type="dxa"/>
          </w:tcPr>
          <w:p w:rsidR="005E5B04" w:rsidRPr="000F4B93" w:rsidRDefault="005E5B04" w:rsidP="009E1061">
            <w:pPr>
              <w:ind w:left="175"/>
              <w:rPr>
                <w:rFonts w:cs="Times New Roman"/>
              </w:rPr>
            </w:pPr>
            <w:r w:rsidRPr="000F4B93">
              <w:rPr>
                <w:rFonts w:cs="Times New Roman"/>
              </w:rPr>
              <w:t>Baseline</w:t>
            </w:r>
          </w:p>
        </w:tc>
        <w:tc>
          <w:tcPr>
            <w:tcW w:w="1132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76.1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(59.6)</w:t>
            </w:r>
          </w:p>
        </w:tc>
        <w:tc>
          <w:tcPr>
            <w:tcW w:w="86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73.4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(43.7)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83.1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(65.3)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72.3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(43.6)</w:t>
            </w:r>
          </w:p>
        </w:tc>
        <w:tc>
          <w:tcPr>
            <w:tcW w:w="1060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76.1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(59.6)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73.4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(43.7)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83.1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(65.3)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73.4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(43.7)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76.1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(59.6)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73.1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(43.0)</w:t>
            </w:r>
          </w:p>
        </w:tc>
      </w:tr>
      <w:tr w:rsidR="005E5B04" w:rsidRPr="000F4B93" w:rsidTr="009E1061">
        <w:tc>
          <w:tcPr>
            <w:tcW w:w="2688" w:type="dxa"/>
          </w:tcPr>
          <w:p w:rsidR="005E5B04" w:rsidRPr="000F4B93" w:rsidRDefault="005E5B04" w:rsidP="009E1061">
            <w:pPr>
              <w:ind w:left="175"/>
              <w:rPr>
                <w:rFonts w:cs="Times New Roman"/>
              </w:rPr>
            </w:pPr>
            <w:r w:rsidRPr="000F4B93">
              <w:rPr>
                <w:rFonts w:cs="Times New Roman"/>
              </w:rPr>
              <w:t>Change at Days 1&amp;2</w:t>
            </w:r>
          </w:p>
        </w:tc>
        <w:tc>
          <w:tcPr>
            <w:tcW w:w="1132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–32.6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(48.8)</w:t>
            </w:r>
          </w:p>
        </w:tc>
        <w:tc>
          <w:tcPr>
            <w:tcW w:w="86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–34.5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(38.5)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–52.8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(59.4)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–30.3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(41.1)</w:t>
            </w:r>
          </w:p>
        </w:tc>
        <w:tc>
          <w:tcPr>
            <w:tcW w:w="1060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–44.5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(52.0)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–44.7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(35.6)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–42.9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(52.3)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–45.8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(35.5)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–47.8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(57.2)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–43.5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(37.4)</w:t>
            </w:r>
          </w:p>
        </w:tc>
      </w:tr>
      <w:tr w:rsidR="005E5B04" w:rsidRPr="000F4B93" w:rsidTr="009E1061">
        <w:tc>
          <w:tcPr>
            <w:tcW w:w="2688" w:type="dxa"/>
          </w:tcPr>
          <w:p w:rsidR="005E5B04" w:rsidRPr="000F4B93" w:rsidRDefault="005E5B04" w:rsidP="009E1061">
            <w:pPr>
              <w:rPr>
                <w:rFonts w:cs="Times New Roman"/>
                <w:b/>
              </w:rPr>
            </w:pPr>
            <w:bookmarkStart w:id="3" w:name="_Hlk6485337"/>
            <w:r w:rsidRPr="000F4B93">
              <w:rPr>
                <w:rFonts w:cs="Times New Roman"/>
                <w:b/>
              </w:rPr>
              <w:t>Other efficacy endpoints</w:t>
            </w:r>
          </w:p>
        </w:tc>
        <w:tc>
          <w:tcPr>
            <w:tcW w:w="1132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86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60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</w:tr>
      <w:tr w:rsidR="005E5B04" w:rsidRPr="000F4B93" w:rsidTr="009E1061">
        <w:tc>
          <w:tcPr>
            <w:tcW w:w="2688" w:type="dxa"/>
          </w:tcPr>
          <w:p w:rsidR="005E5B04" w:rsidRPr="000F4B93" w:rsidRDefault="005E5B04" w:rsidP="009E1061">
            <w:pPr>
              <w:rPr>
                <w:rFonts w:cs="Times New Roman"/>
              </w:rPr>
            </w:pPr>
            <w:r w:rsidRPr="000F4B93">
              <w:rPr>
                <w:rFonts w:cs="Times New Roman"/>
              </w:rPr>
              <w:t>s</w:t>
            </w:r>
            <w:bookmarkStart w:id="4" w:name="_Hlk5988946"/>
            <w:r w:rsidRPr="000F4B93">
              <w:rPr>
                <w:rFonts w:cs="Times New Roman"/>
              </w:rPr>
              <w:t>WASO</w:t>
            </w:r>
            <w:bookmarkEnd w:id="4"/>
          </w:p>
        </w:tc>
        <w:tc>
          <w:tcPr>
            <w:tcW w:w="1132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86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60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</w:tr>
      <w:bookmarkEnd w:id="3"/>
      <w:tr w:rsidR="005E5B04" w:rsidRPr="000F4B93" w:rsidTr="009E1061">
        <w:tc>
          <w:tcPr>
            <w:tcW w:w="2688" w:type="dxa"/>
          </w:tcPr>
          <w:p w:rsidR="005E5B04" w:rsidRPr="000F4B93" w:rsidRDefault="005E5B04" w:rsidP="009E1061">
            <w:pPr>
              <w:ind w:left="175"/>
              <w:rPr>
                <w:rFonts w:cs="Times New Roman"/>
              </w:rPr>
            </w:pPr>
            <w:r w:rsidRPr="000F4B93">
              <w:rPr>
                <w:rFonts w:cs="Times New Roman"/>
              </w:rPr>
              <w:t>Baseline</w:t>
            </w:r>
          </w:p>
        </w:tc>
        <w:tc>
          <w:tcPr>
            <w:tcW w:w="1132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107.4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(48.5)</w:t>
            </w:r>
          </w:p>
        </w:tc>
        <w:tc>
          <w:tcPr>
            <w:tcW w:w="86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94.7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(73.5)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110.4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(49.0)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95.7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(72.8)</w:t>
            </w:r>
          </w:p>
        </w:tc>
        <w:tc>
          <w:tcPr>
            <w:tcW w:w="1060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107.4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(48.5)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94.7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(73.5)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110.4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(49.0)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94.7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(73.5)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107.4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(48.5)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95.2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(71.6)</w:t>
            </w:r>
          </w:p>
        </w:tc>
      </w:tr>
      <w:tr w:rsidR="005E5B04" w:rsidRPr="000F4B93" w:rsidTr="009E1061">
        <w:tc>
          <w:tcPr>
            <w:tcW w:w="2688" w:type="dxa"/>
          </w:tcPr>
          <w:p w:rsidR="005E5B04" w:rsidRPr="000F4B93" w:rsidRDefault="005E5B04" w:rsidP="009E1061">
            <w:pPr>
              <w:ind w:left="175"/>
              <w:rPr>
                <w:rFonts w:cs="Times New Roman"/>
              </w:rPr>
            </w:pPr>
            <w:r w:rsidRPr="000F4B93">
              <w:rPr>
                <w:rFonts w:cs="Times New Roman"/>
              </w:rPr>
              <w:t>Change at Days 1&amp;2</w:t>
            </w:r>
          </w:p>
        </w:tc>
        <w:tc>
          <w:tcPr>
            <w:tcW w:w="1132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–14.4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(48.6)</w:t>
            </w:r>
          </w:p>
        </w:tc>
        <w:tc>
          <w:tcPr>
            <w:tcW w:w="86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–9.1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(79.0)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–31.0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(52.2)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–12.4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(77.6)</w:t>
            </w:r>
          </w:p>
        </w:tc>
        <w:tc>
          <w:tcPr>
            <w:tcW w:w="1060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–32.4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(44.4)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–21.6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(70.2)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–41.0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(53.8)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–37.0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(67.8)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–41.8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(45.6)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–35.8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(77.7)</w:t>
            </w:r>
          </w:p>
        </w:tc>
      </w:tr>
      <w:tr w:rsidR="005E5B04" w:rsidRPr="000F4B93" w:rsidTr="009E1061">
        <w:tc>
          <w:tcPr>
            <w:tcW w:w="2688" w:type="dxa"/>
          </w:tcPr>
          <w:p w:rsidR="005E5B04" w:rsidRPr="000F4B93" w:rsidRDefault="005E5B04" w:rsidP="009E1061">
            <w:pPr>
              <w:rPr>
                <w:rFonts w:cs="Times New Roman"/>
              </w:rPr>
            </w:pPr>
            <w:r w:rsidRPr="000F4B93">
              <w:rPr>
                <w:rFonts w:cs="Times New Roman"/>
              </w:rPr>
              <w:t>sLSO</w:t>
            </w:r>
          </w:p>
        </w:tc>
        <w:tc>
          <w:tcPr>
            <w:tcW w:w="1132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86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60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</w:tr>
      <w:tr w:rsidR="005E5B04" w:rsidRPr="000F4B93" w:rsidTr="009E1061">
        <w:tc>
          <w:tcPr>
            <w:tcW w:w="2688" w:type="dxa"/>
          </w:tcPr>
          <w:p w:rsidR="005E5B04" w:rsidRPr="000F4B93" w:rsidRDefault="005E5B04" w:rsidP="009E1061">
            <w:pPr>
              <w:ind w:left="175"/>
              <w:rPr>
                <w:rFonts w:cs="Times New Roman"/>
              </w:rPr>
            </w:pPr>
            <w:r w:rsidRPr="000F4B93">
              <w:rPr>
                <w:rFonts w:cs="Times New Roman"/>
              </w:rPr>
              <w:t>Baseline</w:t>
            </w:r>
          </w:p>
        </w:tc>
        <w:tc>
          <w:tcPr>
            <w:tcW w:w="1132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66.9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(43.7)</w:t>
            </w:r>
          </w:p>
        </w:tc>
        <w:tc>
          <w:tcPr>
            <w:tcW w:w="86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64.4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(43.5)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70.5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(45.2)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63.8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(43.1)</w:t>
            </w:r>
          </w:p>
        </w:tc>
        <w:tc>
          <w:tcPr>
            <w:tcW w:w="1060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66.9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(43.7)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64.4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(43.5)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70.5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(45.2)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64.4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(43.5)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66.9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(43.7)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64.8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(42.6)</w:t>
            </w:r>
          </w:p>
        </w:tc>
      </w:tr>
      <w:tr w:rsidR="005E5B04" w:rsidRPr="000F4B93" w:rsidTr="009E1061">
        <w:tc>
          <w:tcPr>
            <w:tcW w:w="2688" w:type="dxa"/>
          </w:tcPr>
          <w:p w:rsidR="005E5B04" w:rsidRPr="000F4B93" w:rsidRDefault="005E5B04" w:rsidP="009E1061">
            <w:pPr>
              <w:ind w:left="175"/>
              <w:rPr>
                <w:rFonts w:cs="Times New Roman"/>
              </w:rPr>
            </w:pPr>
            <w:r w:rsidRPr="000F4B93">
              <w:rPr>
                <w:rFonts w:cs="Times New Roman"/>
              </w:rPr>
              <w:t>Change at Days 1&amp;2</w:t>
            </w:r>
          </w:p>
        </w:tc>
        <w:tc>
          <w:tcPr>
            <w:tcW w:w="1132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–19.4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(33.8)</w:t>
            </w:r>
          </w:p>
        </w:tc>
        <w:tc>
          <w:tcPr>
            <w:tcW w:w="86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–11.2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(41.8)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–27.2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(33.4)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–8.5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(26.1)</w:t>
            </w:r>
          </w:p>
        </w:tc>
        <w:tc>
          <w:tcPr>
            <w:tcW w:w="1060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–22.6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(3</w:t>
            </w:r>
            <w:r>
              <w:rPr>
                <w:rFonts w:cs="Times New Roman"/>
              </w:rPr>
              <w:t>2</w:t>
            </w:r>
            <w:r w:rsidRPr="000F4B93">
              <w:rPr>
                <w:rFonts w:cs="Times New Roman"/>
              </w:rPr>
              <w:t>.5)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–23.9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(32.1)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–25.8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(28.8)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–21.6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(34.1)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–33.5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(24.0)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–23.8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(39.3)</w:t>
            </w:r>
          </w:p>
        </w:tc>
      </w:tr>
      <w:tr w:rsidR="005E5B04" w:rsidRPr="000F4B93" w:rsidTr="009E1061">
        <w:tc>
          <w:tcPr>
            <w:tcW w:w="2688" w:type="dxa"/>
          </w:tcPr>
          <w:p w:rsidR="005E5B04" w:rsidRPr="000F4B93" w:rsidRDefault="005E5B04" w:rsidP="009E1061">
            <w:pPr>
              <w:keepNext/>
              <w:rPr>
                <w:rFonts w:cs="Times New Roman"/>
              </w:rPr>
            </w:pPr>
            <w:r w:rsidRPr="000F4B93">
              <w:rPr>
                <w:rFonts w:cs="Times New Roman"/>
              </w:rPr>
              <w:lastRenderedPageBreak/>
              <w:t>TST, min</w:t>
            </w:r>
          </w:p>
        </w:tc>
        <w:tc>
          <w:tcPr>
            <w:tcW w:w="1132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869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1060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</w:p>
        </w:tc>
      </w:tr>
      <w:tr w:rsidR="005E5B04" w:rsidRPr="000F4B93" w:rsidTr="009E1061">
        <w:tc>
          <w:tcPr>
            <w:tcW w:w="2688" w:type="dxa"/>
          </w:tcPr>
          <w:p w:rsidR="005E5B04" w:rsidRPr="000F4B93" w:rsidRDefault="005E5B04" w:rsidP="009E1061">
            <w:pPr>
              <w:keepNext/>
              <w:ind w:left="175"/>
              <w:rPr>
                <w:rFonts w:cs="Times New Roman"/>
              </w:rPr>
            </w:pPr>
            <w:r w:rsidRPr="000F4B93">
              <w:rPr>
                <w:rFonts w:cs="Times New Roman"/>
              </w:rPr>
              <w:t>Baseline</w:t>
            </w:r>
          </w:p>
        </w:tc>
        <w:tc>
          <w:tcPr>
            <w:tcW w:w="1132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282.9</w:t>
            </w:r>
          </w:p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(49.9)</w:t>
            </w:r>
          </w:p>
        </w:tc>
        <w:tc>
          <w:tcPr>
            <w:tcW w:w="869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302.2</w:t>
            </w:r>
          </w:p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(60.8)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281.0</w:t>
            </w:r>
          </w:p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(49.1)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302.3</w:t>
            </w:r>
          </w:p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(59.9)</w:t>
            </w:r>
          </w:p>
        </w:tc>
        <w:tc>
          <w:tcPr>
            <w:tcW w:w="1060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282.9</w:t>
            </w:r>
          </w:p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(49.9)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302.2</w:t>
            </w:r>
          </w:p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(60.8)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281.0</w:t>
            </w:r>
          </w:p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(49.1)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302.2</w:t>
            </w:r>
          </w:p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(60.8)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282.9</w:t>
            </w:r>
          </w:p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(49.9)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304.5</w:t>
            </w:r>
          </w:p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(61.3)</w:t>
            </w:r>
          </w:p>
        </w:tc>
      </w:tr>
      <w:tr w:rsidR="005E5B04" w:rsidRPr="000F4B93" w:rsidTr="009E1061">
        <w:tc>
          <w:tcPr>
            <w:tcW w:w="2688" w:type="dxa"/>
          </w:tcPr>
          <w:p w:rsidR="005E5B04" w:rsidRPr="000F4B93" w:rsidRDefault="005E5B04" w:rsidP="009E1061">
            <w:pPr>
              <w:keepNext/>
              <w:ind w:left="175"/>
              <w:rPr>
                <w:rFonts w:cs="Times New Roman"/>
              </w:rPr>
            </w:pPr>
            <w:r w:rsidRPr="000F4B93">
              <w:rPr>
                <w:rFonts w:cs="Times New Roman"/>
              </w:rPr>
              <w:t>Change at Days 1&amp;2</w:t>
            </w:r>
          </w:p>
        </w:tc>
        <w:tc>
          <w:tcPr>
            <w:tcW w:w="1132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44.4</w:t>
            </w:r>
          </w:p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(38.6)</w:t>
            </w:r>
          </w:p>
        </w:tc>
        <w:tc>
          <w:tcPr>
            <w:tcW w:w="869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44.8</w:t>
            </w:r>
          </w:p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(51.5)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70.6</w:t>
            </w:r>
          </w:p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(46.9)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45.3</w:t>
            </w:r>
          </w:p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(59.9)</w:t>
            </w:r>
          </w:p>
        </w:tc>
        <w:tc>
          <w:tcPr>
            <w:tcW w:w="1060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69.7</w:t>
            </w:r>
          </w:p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(37.5)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76.2</w:t>
            </w:r>
          </w:p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(54.4)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85.8</w:t>
            </w:r>
          </w:p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(39.8)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88.5</w:t>
            </w:r>
          </w:p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(51.9)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115.4</w:t>
            </w:r>
          </w:p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(41.5)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100.0</w:t>
            </w:r>
          </w:p>
          <w:p w:rsidR="005E5B04" w:rsidRPr="000F4B93" w:rsidRDefault="005E5B04" w:rsidP="009E1061">
            <w:pPr>
              <w:keepNext/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(56.3)</w:t>
            </w:r>
          </w:p>
        </w:tc>
      </w:tr>
      <w:tr w:rsidR="005E5B04" w:rsidRPr="000F4B93" w:rsidTr="009E1061">
        <w:tc>
          <w:tcPr>
            <w:tcW w:w="2688" w:type="dxa"/>
          </w:tcPr>
          <w:p w:rsidR="005E5B04" w:rsidRPr="000F4B93" w:rsidRDefault="005E5B04" w:rsidP="009E1061">
            <w:pPr>
              <w:rPr>
                <w:rFonts w:cs="Times New Roman"/>
              </w:rPr>
            </w:pPr>
            <w:proofErr w:type="spellStart"/>
            <w:r w:rsidRPr="000F4B93">
              <w:rPr>
                <w:rFonts w:cs="Times New Roman"/>
              </w:rPr>
              <w:t>sTST</w:t>
            </w:r>
            <w:proofErr w:type="spellEnd"/>
            <w:r w:rsidRPr="000F4B93">
              <w:rPr>
                <w:rFonts w:cs="Times New Roman"/>
              </w:rPr>
              <w:t>, min</w:t>
            </w:r>
          </w:p>
        </w:tc>
        <w:tc>
          <w:tcPr>
            <w:tcW w:w="1132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86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60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</w:p>
        </w:tc>
      </w:tr>
      <w:tr w:rsidR="005E5B04" w:rsidRPr="000F4B93" w:rsidTr="009E1061">
        <w:tc>
          <w:tcPr>
            <w:tcW w:w="2688" w:type="dxa"/>
          </w:tcPr>
          <w:p w:rsidR="005E5B04" w:rsidRPr="000F4B93" w:rsidRDefault="005E5B04" w:rsidP="009E1061">
            <w:pPr>
              <w:ind w:left="175"/>
              <w:rPr>
                <w:rFonts w:cs="Times New Roman"/>
              </w:rPr>
            </w:pPr>
            <w:r w:rsidRPr="000F4B93">
              <w:rPr>
                <w:rFonts w:cs="Times New Roman"/>
              </w:rPr>
              <w:t>Baseline</w:t>
            </w:r>
          </w:p>
        </w:tc>
        <w:tc>
          <w:tcPr>
            <w:tcW w:w="1132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304.3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(57.7)</w:t>
            </w:r>
          </w:p>
        </w:tc>
        <w:tc>
          <w:tcPr>
            <w:tcW w:w="86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300.5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(69.2)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304.9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(56.1)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299.7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(68.4)</w:t>
            </w:r>
          </w:p>
        </w:tc>
        <w:tc>
          <w:tcPr>
            <w:tcW w:w="1060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304.3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</w:t>
            </w:r>
            <w:r>
              <w:rPr>
                <w:rFonts w:cs="Times New Roman"/>
              </w:rPr>
              <w:t>7</w:t>
            </w:r>
            <w:r w:rsidRPr="000F4B93">
              <w:rPr>
                <w:rFonts w:cs="Times New Roman"/>
              </w:rPr>
              <w:t>.</w:t>
            </w:r>
            <w:r>
              <w:rPr>
                <w:rFonts w:cs="Times New Roman"/>
              </w:rPr>
              <w:t>7</w:t>
            </w:r>
            <w:r w:rsidRPr="000F4B93">
              <w:rPr>
                <w:rFonts w:cs="Times New Roman"/>
              </w:rPr>
              <w:t>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300.5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(69.2)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304.9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(56.1)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300.5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(69.2)</w:t>
            </w:r>
          </w:p>
        </w:tc>
        <w:tc>
          <w:tcPr>
            <w:tcW w:w="1029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304.3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(57.7)</w:t>
            </w:r>
          </w:p>
        </w:tc>
        <w:tc>
          <w:tcPr>
            <w:tcW w:w="1031" w:type="dxa"/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300.3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(67.3)</w:t>
            </w:r>
          </w:p>
        </w:tc>
      </w:tr>
      <w:tr w:rsidR="005E5B04" w:rsidRPr="000F4B93" w:rsidTr="009E1061">
        <w:tc>
          <w:tcPr>
            <w:tcW w:w="2688" w:type="dxa"/>
            <w:tcBorders>
              <w:bottom w:val="single" w:sz="4" w:space="0" w:color="auto"/>
            </w:tcBorders>
          </w:tcPr>
          <w:p w:rsidR="005E5B04" w:rsidRPr="000F4B93" w:rsidRDefault="005E5B04" w:rsidP="009E1061">
            <w:pPr>
              <w:ind w:left="175"/>
              <w:rPr>
                <w:rFonts w:cs="Times New Roman"/>
              </w:rPr>
            </w:pPr>
            <w:r w:rsidRPr="000F4B93">
              <w:rPr>
                <w:rFonts w:cs="Times New Roman"/>
              </w:rPr>
              <w:t>Change at Days 1&amp;2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28.8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(50.5)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34.8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(78.2)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28.8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(59.0)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26.1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(71.8</w:t>
            </w:r>
            <w:r>
              <w:rPr>
                <w:rFonts w:cs="Times New Roman"/>
              </w:rPr>
              <w:t>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28.6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(58.6)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57.1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(68.8)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47.3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(50.0)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60.8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(61.9)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72.5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(44.7)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68.1</w:t>
            </w:r>
          </w:p>
          <w:p w:rsidR="005E5B04" w:rsidRPr="000F4B93" w:rsidRDefault="005E5B04" w:rsidP="009E1061">
            <w:pPr>
              <w:jc w:val="center"/>
              <w:rPr>
                <w:rFonts w:cs="Times New Roman"/>
              </w:rPr>
            </w:pPr>
            <w:r w:rsidRPr="000F4B93">
              <w:rPr>
                <w:rFonts w:cs="Times New Roman"/>
              </w:rPr>
              <w:t>(79.1)</w:t>
            </w:r>
          </w:p>
        </w:tc>
      </w:tr>
    </w:tbl>
    <w:p w:rsidR="005E5B04" w:rsidRPr="00CA1EFF" w:rsidRDefault="005E5B04" w:rsidP="005E5B04">
      <w:pPr>
        <w:rPr>
          <w:rFonts w:cs="Times New Roman"/>
          <w:sz w:val="20"/>
          <w:szCs w:val="20"/>
          <w:lang w:val="en-GB"/>
        </w:rPr>
      </w:pPr>
      <w:r w:rsidRPr="00CA1EFF">
        <w:rPr>
          <w:rFonts w:cs="Times New Roman"/>
          <w:sz w:val="20"/>
          <w:szCs w:val="20"/>
        </w:rPr>
        <w:t>Days 1&amp;2 refers to the mean value of the corresponding two PSG treatment nights for a given treatment period.</w:t>
      </w:r>
    </w:p>
    <w:p w:rsidR="005E5B04" w:rsidRDefault="005E5B04" w:rsidP="005E5B04">
      <w:pPr>
        <w:rPr>
          <w:rFonts w:cs="Times New Roman"/>
          <w:sz w:val="20"/>
          <w:szCs w:val="20"/>
        </w:rPr>
      </w:pPr>
      <w:r w:rsidRPr="00CA1EFF">
        <w:rPr>
          <w:rFonts w:cs="Times New Roman"/>
          <w:sz w:val="20"/>
          <w:szCs w:val="20"/>
        </w:rPr>
        <w:t xml:space="preserve">LPS, latency to persistent sleep; SD, standard deviation; sLSO, subjective latency to sleep onset; </w:t>
      </w:r>
      <w:proofErr w:type="spellStart"/>
      <w:r w:rsidRPr="00CA1EFF">
        <w:rPr>
          <w:rFonts w:cs="Times New Roman"/>
          <w:sz w:val="20"/>
          <w:szCs w:val="20"/>
        </w:rPr>
        <w:t>sTST</w:t>
      </w:r>
      <w:proofErr w:type="spellEnd"/>
      <w:r w:rsidRPr="00CA1EFF">
        <w:rPr>
          <w:rFonts w:cs="Times New Roman"/>
          <w:sz w:val="20"/>
          <w:szCs w:val="20"/>
        </w:rPr>
        <w:t>, self-reported total sleep time; sWASO, subjective wake after sleep onset; TST, total sleep time; WASO, wake after sleep onset.</w:t>
      </w:r>
    </w:p>
    <w:p w:rsidR="005E5B04" w:rsidRDefault="005E5B04"/>
    <w:sectPr w:rsidR="005E5B04" w:rsidSect="005E5B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B04" w:rsidRDefault="005E5B04" w:rsidP="005E5B04">
      <w:pPr>
        <w:spacing w:after="0" w:line="240" w:lineRule="auto"/>
      </w:pPr>
      <w:r>
        <w:separator/>
      </w:r>
    </w:p>
  </w:endnote>
  <w:endnote w:type="continuationSeparator" w:id="0">
    <w:p w:rsidR="005E5B04" w:rsidRDefault="005E5B04" w:rsidP="005E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B04" w:rsidRDefault="005E5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B04" w:rsidRDefault="005E5B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B04" w:rsidRDefault="005E5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B04" w:rsidRDefault="005E5B04" w:rsidP="005E5B04">
      <w:pPr>
        <w:spacing w:after="0" w:line="240" w:lineRule="auto"/>
      </w:pPr>
      <w:r>
        <w:separator/>
      </w:r>
    </w:p>
  </w:footnote>
  <w:footnote w:type="continuationSeparator" w:id="0">
    <w:p w:rsidR="005E5B04" w:rsidRDefault="005E5B04" w:rsidP="005E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B04" w:rsidRDefault="005E5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B04" w:rsidRDefault="005E5B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B04" w:rsidRDefault="005E5B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04"/>
    <w:rsid w:val="005E5B04"/>
    <w:rsid w:val="00CD7CD6"/>
    <w:rsid w:val="00D4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9DC2B"/>
  <w15:chartTrackingRefBased/>
  <w15:docId w15:val="{DA824551-8505-42D1-8B02-ED781623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B04"/>
    <w:rPr>
      <w:rFonts w:ascii="Times New Roman" w:eastAsiaTheme="minorEastAsia" w:hAnsi="Times New Roman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0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5B04"/>
  </w:style>
  <w:style w:type="paragraph" w:styleId="Footer">
    <w:name w:val="footer"/>
    <w:basedOn w:val="Normal"/>
    <w:link w:val="FooterChar"/>
    <w:uiPriority w:val="99"/>
    <w:unhideWhenUsed/>
    <w:rsid w:val="005E5B0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5B04"/>
  </w:style>
  <w:style w:type="table" w:styleId="TableGrid">
    <w:name w:val="Table Grid"/>
    <w:basedOn w:val="TableNormal"/>
    <w:uiPriority w:val="39"/>
    <w:rsid w:val="005E5B04"/>
    <w:pPr>
      <w:spacing w:after="0" w:line="240" w:lineRule="auto"/>
    </w:pPr>
    <w:rPr>
      <w:rFonts w:ascii="Times New Roman" w:eastAsiaTheme="minorEastAsia" w:hAnsi="Times New Roman"/>
      <w:sz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E5B04"/>
    <w:rPr>
      <w:rFonts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>Idorsia Pharmaceuticals Ltd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Yosef Mansour</dc:creator>
  <cp:keywords/>
  <dc:description/>
  <cp:lastModifiedBy>Yosef Mansour</cp:lastModifiedBy>
  <cp:revision>3</cp:revision>
  <dcterms:created xsi:type="dcterms:W3CDTF">2019-11-25T16:01:00Z</dcterms:created>
  <dcterms:modified xsi:type="dcterms:W3CDTF">2020-03-25T09:54:00Z</dcterms:modified>
</cp:coreProperties>
</file>