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255" w:rsidRPr="00F56E84" w:rsidRDefault="008E19CA" w:rsidP="00F56E84">
      <w:pPr>
        <w:spacing w:after="0" w:line="480" w:lineRule="auto"/>
        <w:jc w:val="center"/>
        <w:rPr>
          <w:rFonts w:ascii="Times New Roman" w:hAnsi="Times New Roman" w:cs="Times New Roman"/>
          <w:b/>
          <w:u w:val="single"/>
        </w:rPr>
      </w:pPr>
      <w:r w:rsidRPr="00F56E84">
        <w:rPr>
          <w:rFonts w:ascii="Times New Roman" w:hAnsi="Times New Roman" w:cs="Times New Roman"/>
          <w:b/>
          <w:u w:val="single"/>
        </w:rPr>
        <w:t xml:space="preserve">Table </w:t>
      </w:r>
      <w:r w:rsidR="00FA3291">
        <w:rPr>
          <w:rFonts w:ascii="Times New Roman" w:hAnsi="Times New Roman" w:cs="Times New Roman"/>
          <w:b/>
          <w:u w:val="single"/>
        </w:rPr>
        <w:t>e-</w:t>
      </w:r>
      <w:bookmarkStart w:id="0" w:name="_GoBack"/>
      <w:bookmarkEnd w:id="0"/>
      <w:r w:rsidRPr="00F56E84">
        <w:rPr>
          <w:rFonts w:ascii="Times New Roman" w:hAnsi="Times New Roman" w:cs="Times New Roman"/>
          <w:b/>
          <w:u w:val="single"/>
        </w:rPr>
        <w:t>1: International Consensus Guidance Recommendations for treatment of Myasthenia Gravis: Clinical Care</w:t>
      </w:r>
      <w:r w:rsidR="00150255" w:rsidRPr="00F56E84">
        <w:rPr>
          <w:rFonts w:ascii="Times New Roman" w:hAnsi="Times New Roman" w:cs="Times New Roman"/>
          <w:b/>
          <w:u w:val="single"/>
        </w:rPr>
        <w:t xml:space="preserve"> Definitions in Myasthenia Gravis</w:t>
      </w:r>
    </w:p>
    <w:tbl>
      <w:tblPr>
        <w:tblStyle w:val="TableGrid"/>
        <w:tblpPr w:leftFromText="180" w:rightFromText="180" w:vertAnchor="page" w:horzAnchor="margin" w:tblpY="2853"/>
        <w:tblW w:w="9445" w:type="dxa"/>
        <w:tblLook w:val="04A0" w:firstRow="1" w:lastRow="0" w:firstColumn="1" w:lastColumn="0" w:noHBand="0" w:noVBand="1"/>
      </w:tblPr>
      <w:tblGrid>
        <w:gridCol w:w="3330"/>
        <w:gridCol w:w="6115"/>
      </w:tblGrid>
      <w:tr w:rsidR="00150255" w:rsidRPr="00F56E84" w:rsidTr="00150255">
        <w:trPr>
          <w:trHeight w:val="4500"/>
        </w:trPr>
        <w:tc>
          <w:tcPr>
            <w:tcW w:w="3330" w:type="dxa"/>
            <w:noWrap/>
            <w:hideMark/>
          </w:tcPr>
          <w:p w:rsidR="00150255" w:rsidRPr="004B08E7" w:rsidRDefault="00150255" w:rsidP="00CA0A5E">
            <w:pPr>
              <w:spacing w:line="480" w:lineRule="auto"/>
              <w:rPr>
                <w:rFonts w:ascii="Times New Roman" w:hAnsi="Times New Roman" w:cs="Times New Roman"/>
                <w:b/>
              </w:rPr>
            </w:pPr>
            <w:r w:rsidRPr="004B08E7">
              <w:rPr>
                <w:rFonts w:ascii="Times New Roman" w:hAnsi="Times New Roman" w:cs="Times New Roman"/>
                <w:b/>
              </w:rPr>
              <w:t>Goals for the treatment of MG</w:t>
            </w:r>
          </w:p>
        </w:tc>
        <w:tc>
          <w:tcPr>
            <w:tcW w:w="6115" w:type="dxa"/>
            <w:hideMark/>
          </w:tcPr>
          <w:p w:rsidR="00150255" w:rsidRPr="00F56E84" w:rsidRDefault="00150255" w:rsidP="00CA0A5E">
            <w:pPr>
              <w:spacing w:line="480" w:lineRule="auto"/>
              <w:rPr>
                <w:rFonts w:ascii="Times New Roman" w:hAnsi="Times New Roman" w:cs="Times New Roman"/>
              </w:rPr>
            </w:pPr>
            <w:r w:rsidRPr="00F56E84">
              <w:rPr>
                <w:rFonts w:ascii="Times New Roman" w:hAnsi="Times New Roman" w:cs="Times New Roman"/>
              </w:rPr>
              <w:t xml:space="preserve">MGFA Task Force Post-Intervention Status (PIS) classification Minimal Manifestation Status (MMS) or better, with no more than Grade 1 CTCAE (Common Terminology Criteria for Adverse Events) medication side-effects.                          </w:t>
            </w:r>
          </w:p>
          <w:p w:rsidR="00150255" w:rsidRPr="00F56E84" w:rsidRDefault="00150255" w:rsidP="00CA0A5E">
            <w:pPr>
              <w:spacing w:line="480" w:lineRule="auto"/>
              <w:rPr>
                <w:rFonts w:ascii="Times New Roman" w:hAnsi="Times New Roman" w:cs="Times New Roman"/>
                <w:b/>
                <w:bCs/>
              </w:rPr>
            </w:pPr>
            <w:r w:rsidRPr="00F56E84">
              <w:rPr>
                <w:rFonts w:ascii="Times New Roman" w:hAnsi="Times New Roman" w:cs="Times New Roman"/>
                <w:b/>
                <w:bCs/>
              </w:rPr>
              <w:t xml:space="preserve">MMS: </w:t>
            </w:r>
            <w:r w:rsidRPr="00F56E84">
              <w:rPr>
                <w:rFonts w:ascii="Times New Roman" w:hAnsi="Times New Roman" w:cs="Times New Roman"/>
              </w:rPr>
              <w:t>The patient has no symptoms or functional limitations from MG but has some weakness on examination of some muscles. This class recognizes that some patients who otherwise meet the definition of Remission have mild weakness.</w:t>
            </w:r>
            <w:r w:rsidRPr="00F56E84">
              <w:rPr>
                <w:rFonts w:ascii="Times New Roman" w:hAnsi="Times New Roman" w:cs="Times New Roman"/>
              </w:rPr>
              <w:br/>
            </w:r>
            <w:r w:rsidRPr="00F56E84">
              <w:rPr>
                <w:rFonts w:ascii="Times New Roman" w:hAnsi="Times New Roman" w:cs="Times New Roman"/>
                <w:b/>
                <w:bCs/>
              </w:rPr>
              <w:t xml:space="preserve">CTCAE Grade 1 </w:t>
            </w:r>
            <w:r w:rsidRPr="00F56E84">
              <w:rPr>
                <w:rFonts w:ascii="Times New Roman" w:hAnsi="Times New Roman" w:cs="Times New Roman"/>
              </w:rPr>
              <w:t xml:space="preserve">medication side-effects: asymptomatic or only mild symptoms; intervention not indicated. </w:t>
            </w:r>
          </w:p>
        </w:tc>
      </w:tr>
      <w:tr w:rsidR="00150255" w:rsidRPr="00F56E84" w:rsidTr="00150255">
        <w:trPr>
          <w:trHeight w:val="2400"/>
        </w:trPr>
        <w:tc>
          <w:tcPr>
            <w:tcW w:w="3330" w:type="dxa"/>
            <w:noWrap/>
            <w:hideMark/>
          </w:tcPr>
          <w:p w:rsidR="00150255" w:rsidRPr="004B08E7" w:rsidRDefault="00150255" w:rsidP="00CA0A5E">
            <w:pPr>
              <w:spacing w:line="480" w:lineRule="auto"/>
              <w:rPr>
                <w:rFonts w:ascii="Times New Roman" w:hAnsi="Times New Roman" w:cs="Times New Roman"/>
                <w:b/>
              </w:rPr>
            </w:pPr>
            <w:r w:rsidRPr="004B08E7">
              <w:rPr>
                <w:rFonts w:ascii="Times New Roman" w:hAnsi="Times New Roman" w:cs="Times New Roman"/>
                <w:b/>
              </w:rPr>
              <w:t>Definition of Remission</w:t>
            </w:r>
          </w:p>
        </w:tc>
        <w:tc>
          <w:tcPr>
            <w:tcW w:w="6115" w:type="dxa"/>
            <w:hideMark/>
          </w:tcPr>
          <w:p w:rsidR="00150255" w:rsidRPr="00F56E84" w:rsidRDefault="00150255" w:rsidP="00CA0A5E">
            <w:pPr>
              <w:spacing w:line="480" w:lineRule="auto"/>
              <w:rPr>
                <w:rFonts w:ascii="Times New Roman" w:hAnsi="Times New Roman" w:cs="Times New Roman"/>
              </w:rPr>
            </w:pPr>
            <w:r w:rsidRPr="00F56E84">
              <w:rPr>
                <w:rFonts w:ascii="Times New Roman" w:hAnsi="Times New Roman" w:cs="Times New Roman"/>
              </w:rPr>
              <w:t>The patient has no symptoms or signs of MG. Weakness of eyelid closure is accepted, but there is no weakness of any other muscle on careful examination. Patients taking cholinesterase inhibitors every day with reasonable evidence to support symptomatic benefit are therefore excluded from this category.</w:t>
            </w:r>
          </w:p>
        </w:tc>
      </w:tr>
      <w:tr w:rsidR="00150255" w:rsidRPr="00F56E84" w:rsidTr="00CA0A5E">
        <w:trPr>
          <w:trHeight w:val="2060"/>
        </w:trPr>
        <w:tc>
          <w:tcPr>
            <w:tcW w:w="3330" w:type="dxa"/>
            <w:noWrap/>
            <w:hideMark/>
          </w:tcPr>
          <w:p w:rsidR="00150255" w:rsidRPr="004B08E7" w:rsidRDefault="00150255" w:rsidP="00CA0A5E">
            <w:pPr>
              <w:spacing w:line="480" w:lineRule="auto"/>
              <w:rPr>
                <w:rFonts w:ascii="Times New Roman" w:hAnsi="Times New Roman" w:cs="Times New Roman"/>
                <w:b/>
              </w:rPr>
            </w:pPr>
            <w:r w:rsidRPr="004B08E7">
              <w:rPr>
                <w:rFonts w:ascii="Times New Roman" w:hAnsi="Times New Roman" w:cs="Times New Roman"/>
                <w:b/>
              </w:rPr>
              <w:t>Definition of “Ocular MG”</w:t>
            </w:r>
          </w:p>
        </w:tc>
        <w:tc>
          <w:tcPr>
            <w:tcW w:w="6115" w:type="dxa"/>
            <w:hideMark/>
          </w:tcPr>
          <w:p w:rsidR="00150255" w:rsidRPr="00F56E84" w:rsidRDefault="00150255" w:rsidP="00CA0A5E">
            <w:pPr>
              <w:spacing w:line="480" w:lineRule="auto"/>
              <w:rPr>
                <w:rFonts w:ascii="Times New Roman" w:hAnsi="Times New Roman" w:cs="Times New Roman"/>
                <w:vertAlign w:val="superscript"/>
              </w:rPr>
            </w:pPr>
            <w:r w:rsidRPr="00F56E84">
              <w:rPr>
                <w:rFonts w:ascii="Times New Roman" w:hAnsi="Times New Roman" w:cs="Times New Roman"/>
              </w:rPr>
              <w:t>*MGFA Class I- Any ocular muscle weakness. May have weakness of eye closure.  Strength in all other facial, bulbar and limb muscles is normal.</w:t>
            </w:r>
            <w:r w:rsidRPr="00F56E84">
              <w:rPr>
                <w:rFonts w:ascii="Times New Roman" w:hAnsi="Times New Roman" w:cs="Times New Roman"/>
                <w:vertAlign w:val="superscript"/>
              </w:rPr>
              <w:t xml:space="preserve">#                  </w:t>
            </w:r>
          </w:p>
          <w:p w:rsidR="00150255" w:rsidRPr="00F56E84" w:rsidRDefault="00150255" w:rsidP="00CA0A5E">
            <w:pPr>
              <w:spacing w:line="480" w:lineRule="auto"/>
              <w:rPr>
                <w:rFonts w:ascii="Times New Roman" w:hAnsi="Times New Roman" w:cs="Times New Roman"/>
              </w:rPr>
            </w:pPr>
            <w:r w:rsidRPr="00F56E84">
              <w:rPr>
                <w:rFonts w:ascii="Times New Roman" w:hAnsi="Times New Roman" w:cs="Times New Roman"/>
                <w:vertAlign w:val="superscript"/>
              </w:rPr>
              <w:t xml:space="preserve"> *</w:t>
            </w:r>
            <w:r w:rsidRPr="00F56E84">
              <w:rPr>
                <w:rFonts w:ascii="Times New Roman" w:hAnsi="Times New Roman" w:cs="Times New Roman"/>
              </w:rPr>
              <w:t xml:space="preserve"> Based on dysfunction due to MG at a specified point in time, and is not dependent upon the duration of disease.                                                          </w:t>
            </w:r>
          </w:p>
          <w:p w:rsidR="00150255" w:rsidRPr="00F56E84" w:rsidRDefault="00150255" w:rsidP="00CA0A5E">
            <w:pPr>
              <w:spacing w:line="480" w:lineRule="auto"/>
              <w:rPr>
                <w:rFonts w:ascii="Times New Roman" w:hAnsi="Times New Roman" w:cs="Times New Roman"/>
              </w:rPr>
            </w:pPr>
            <w:r w:rsidRPr="00F56E84">
              <w:rPr>
                <w:rFonts w:ascii="Times New Roman" w:hAnsi="Times New Roman" w:cs="Times New Roman"/>
              </w:rPr>
              <w:t xml:space="preserve">#It is recognized that some patients report fatigue when strength testing is normal. The physician should use clinical judgment in </w:t>
            </w:r>
            <w:r w:rsidRPr="00F56E84">
              <w:rPr>
                <w:rFonts w:ascii="Times New Roman" w:hAnsi="Times New Roman" w:cs="Times New Roman"/>
              </w:rPr>
              <w:lastRenderedPageBreak/>
              <w:t xml:space="preserve">attributing fatigue to generalized MG in the absence of objective non-ocular weakness.     </w:t>
            </w:r>
            <w:r w:rsidRPr="00F56E84">
              <w:rPr>
                <w:rFonts w:ascii="Times New Roman" w:hAnsi="Times New Roman" w:cs="Times New Roman"/>
                <w:vertAlign w:val="superscript"/>
              </w:rPr>
              <w:t xml:space="preserve">     </w:t>
            </w:r>
          </w:p>
        </w:tc>
      </w:tr>
      <w:tr w:rsidR="00150255" w:rsidRPr="00F56E84" w:rsidTr="00150255">
        <w:trPr>
          <w:trHeight w:val="945"/>
        </w:trPr>
        <w:tc>
          <w:tcPr>
            <w:tcW w:w="3330" w:type="dxa"/>
            <w:noWrap/>
            <w:hideMark/>
          </w:tcPr>
          <w:p w:rsidR="00150255" w:rsidRPr="004B08E7" w:rsidRDefault="00150255" w:rsidP="00CA0A5E">
            <w:pPr>
              <w:spacing w:line="480" w:lineRule="auto"/>
              <w:rPr>
                <w:rFonts w:ascii="Times New Roman" w:hAnsi="Times New Roman" w:cs="Times New Roman"/>
                <w:b/>
              </w:rPr>
            </w:pPr>
            <w:r w:rsidRPr="004B08E7">
              <w:rPr>
                <w:rFonts w:ascii="Times New Roman" w:hAnsi="Times New Roman" w:cs="Times New Roman"/>
                <w:b/>
              </w:rPr>
              <w:lastRenderedPageBreak/>
              <w:t>Definition of “Impending Myasthenic Crisis”</w:t>
            </w:r>
          </w:p>
        </w:tc>
        <w:tc>
          <w:tcPr>
            <w:tcW w:w="6115" w:type="dxa"/>
            <w:hideMark/>
          </w:tcPr>
          <w:p w:rsidR="00150255" w:rsidRPr="00F56E84" w:rsidRDefault="00150255" w:rsidP="00CA0A5E">
            <w:pPr>
              <w:spacing w:line="480" w:lineRule="auto"/>
              <w:rPr>
                <w:rFonts w:ascii="Times New Roman" w:hAnsi="Times New Roman" w:cs="Times New Roman"/>
              </w:rPr>
            </w:pPr>
            <w:r w:rsidRPr="00F56E84">
              <w:rPr>
                <w:rFonts w:ascii="Times New Roman" w:hAnsi="Times New Roman" w:cs="Times New Roman"/>
              </w:rPr>
              <w:t>Rapid clinical worsening of MG that, in the opinion of the treating physician, could lead to crisis in the short term (days to weeks).</w:t>
            </w:r>
          </w:p>
        </w:tc>
      </w:tr>
      <w:tr w:rsidR="00150255" w:rsidRPr="00F56E84" w:rsidTr="00150255">
        <w:trPr>
          <w:trHeight w:val="3780"/>
        </w:trPr>
        <w:tc>
          <w:tcPr>
            <w:tcW w:w="3330" w:type="dxa"/>
            <w:noWrap/>
            <w:hideMark/>
          </w:tcPr>
          <w:p w:rsidR="00150255" w:rsidRPr="004B08E7" w:rsidRDefault="00150255" w:rsidP="00CA0A5E">
            <w:pPr>
              <w:spacing w:line="480" w:lineRule="auto"/>
              <w:rPr>
                <w:rFonts w:ascii="Times New Roman" w:hAnsi="Times New Roman" w:cs="Times New Roman"/>
                <w:b/>
              </w:rPr>
            </w:pPr>
            <w:r w:rsidRPr="004B08E7">
              <w:rPr>
                <w:rFonts w:ascii="Times New Roman" w:hAnsi="Times New Roman" w:cs="Times New Roman"/>
                <w:b/>
              </w:rPr>
              <w:t xml:space="preserve"> Definition of “Manifest Myasthenic Crisis:” </w:t>
            </w:r>
          </w:p>
        </w:tc>
        <w:tc>
          <w:tcPr>
            <w:tcW w:w="6115" w:type="dxa"/>
            <w:hideMark/>
          </w:tcPr>
          <w:p w:rsidR="00150255" w:rsidRPr="00F56E84" w:rsidRDefault="0097079A" w:rsidP="00CA0A5E">
            <w:pPr>
              <w:spacing w:line="480" w:lineRule="auto"/>
              <w:rPr>
                <w:rFonts w:ascii="Times New Roman" w:hAnsi="Times New Roman" w:cs="Times New Roman"/>
              </w:rPr>
            </w:pPr>
            <w:r w:rsidRPr="00F56E84">
              <w:rPr>
                <w:rFonts w:ascii="Times New Roman" w:hAnsi="Times New Roman" w:cs="Times New Roman"/>
              </w:rPr>
              <w:t>*MGFA Class V</w:t>
            </w:r>
            <w:r w:rsidR="00150255" w:rsidRPr="00F56E84">
              <w:rPr>
                <w:rFonts w:ascii="Times New Roman" w:hAnsi="Times New Roman" w:cs="Times New Roman"/>
              </w:rPr>
              <w:t xml:space="preserve"> - Worsening of myasthenic weakness requiring intubation or non-invasive ventilation to avoid intubation, except when these measures are employed during routine postoperative management. #                            </w:t>
            </w:r>
          </w:p>
          <w:p w:rsidR="00150255" w:rsidRPr="00F56E84" w:rsidRDefault="00150255" w:rsidP="00CA0A5E">
            <w:pPr>
              <w:spacing w:line="480" w:lineRule="auto"/>
              <w:rPr>
                <w:rFonts w:ascii="Times New Roman" w:hAnsi="Times New Roman" w:cs="Times New Roman"/>
              </w:rPr>
            </w:pPr>
            <w:r w:rsidRPr="00F56E84">
              <w:rPr>
                <w:rFonts w:ascii="Times New Roman" w:hAnsi="Times New Roman" w:cs="Times New Roman"/>
              </w:rPr>
              <w:t xml:space="preserve">*The concept of crisis focuses on the clinical implications - it represents a serious, life-threatening, rapid worsening of MG and potential airway compromise from ventilatory and/or bulbar dysfunction.                           </w:t>
            </w:r>
          </w:p>
          <w:p w:rsidR="00150255" w:rsidRPr="00F56E84" w:rsidRDefault="00150255" w:rsidP="00CA0A5E">
            <w:pPr>
              <w:spacing w:line="480" w:lineRule="auto"/>
              <w:rPr>
                <w:rFonts w:ascii="Times New Roman" w:hAnsi="Times New Roman" w:cs="Times New Roman"/>
              </w:rPr>
            </w:pPr>
            <w:r w:rsidRPr="00F56E84">
              <w:rPr>
                <w:rFonts w:ascii="Times New Roman" w:hAnsi="Times New Roman" w:cs="Times New Roman"/>
              </w:rPr>
              <w:t xml:space="preserve">  #The use of a feeding tube without intubation places the patient in MGFA Class IVB                       </w:t>
            </w:r>
          </w:p>
        </w:tc>
      </w:tr>
      <w:tr w:rsidR="00150255" w:rsidRPr="00F56E84" w:rsidTr="00150255">
        <w:trPr>
          <w:trHeight w:val="1232"/>
        </w:trPr>
        <w:tc>
          <w:tcPr>
            <w:tcW w:w="3330" w:type="dxa"/>
            <w:noWrap/>
            <w:hideMark/>
          </w:tcPr>
          <w:p w:rsidR="00150255" w:rsidRPr="004B08E7" w:rsidRDefault="00150255" w:rsidP="00CA0A5E">
            <w:pPr>
              <w:spacing w:line="480" w:lineRule="auto"/>
              <w:rPr>
                <w:rFonts w:ascii="Times New Roman" w:hAnsi="Times New Roman" w:cs="Times New Roman"/>
                <w:b/>
              </w:rPr>
            </w:pPr>
            <w:r w:rsidRPr="00F56E84">
              <w:rPr>
                <w:rFonts w:ascii="Times New Roman" w:hAnsi="Times New Roman" w:cs="Times New Roman"/>
              </w:rPr>
              <w:t xml:space="preserve"> </w:t>
            </w:r>
            <w:r w:rsidRPr="004B08E7">
              <w:rPr>
                <w:rFonts w:ascii="Times New Roman" w:hAnsi="Times New Roman" w:cs="Times New Roman"/>
                <w:b/>
              </w:rPr>
              <w:t xml:space="preserve">Definition of “Refractory MG” </w:t>
            </w:r>
          </w:p>
        </w:tc>
        <w:tc>
          <w:tcPr>
            <w:tcW w:w="6115" w:type="dxa"/>
            <w:hideMark/>
          </w:tcPr>
          <w:p w:rsidR="00150255" w:rsidRPr="00F56E84" w:rsidRDefault="00150255" w:rsidP="00CA0A5E">
            <w:pPr>
              <w:spacing w:line="480" w:lineRule="auto"/>
              <w:rPr>
                <w:rFonts w:ascii="Times New Roman" w:hAnsi="Times New Roman" w:cs="Times New Roman"/>
              </w:rPr>
            </w:pPr>
            <w:r w:rsidRPr="00F56E84">
              <w:rPr>
                <w:rFonts w:ascii="Times New Roman" w:hAnsi="Times New Roman" w:cs="Times New Roman"/>
              </w:rPr>
              <w:t xml:space="preserve">PIS is Unchanged or Worse after corticosteroids and at least two other IS agents, used in adequate doses for an adequate duration with persistent symptoms and/or side-effects that limit functioning, as defined by patient and physician. </w:t>
            </w:r>
          </w:p>
        </w:tc>
      </w:tr>
    </w:tbl>
    <w:p w:rsidR="001346E8" w:rsidRPr="00F56E84" w:rsidRDefault="001346E8" w:rsidP="00CA0A5E">
      <w:pPr>
        <w:spacing w:line="480" w:lineRule="auto"/>
        <w:rPr>
          <w:rFonts w:ascii="Times New Roman" w:hAnsi="Times New Roman" w:cs="Times New Roman"/>
        </w:rPr>
      </w:pPr>
    </w:p>
    <w:sectPr w:rsidR="001346E8" w:rsidRPr="00F56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513" w:rsidRDefault="00530513" w:rsidP="00150255">
      <w:pPr>
        <w:spacing w:after="0" w:line="240" w:lineRule="auto"/>
      </w:pPr>
      <w:r>
        <w:separator/>
      </w:r>
    </w:p>
  </w:endnote>
  <w:endnote w:type="continuationSeparator" w:id="0">
    <w:p w:rsidR="00530513" w:rsidRDefault="00530513" w:rsidP="0015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513" w:rsidRDefault="00530513" w:rsidP="00150255">
      <w:pPr>
        <w:spacing w:after="0" w:line="240" w:lineRule="auto"/>
      </w:pPr>
      <w:r>
        <w:separator/>
      </w:r>
    </w:p>
  </w:footnote>
  <w:footnote w:type="continuationSeparator" w:id="0">
    <w:p w:rsidR="00530513" w:rsidRDefault="00530513" w:rsidP="00150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82"/>
    <w:rsid w:val="00105CC5"/>
    <w:rsid w:val="001346E8"/>
    <w:rsid w:val="00150255"/>
    <w:rsid w:val="004B08E7"/>
    <w:rsid w:val="00530513"/>
    <w:rsid w:val="00863256"/>
    <w:rsid w:val="008E19CA"/>
    <w:rsid w:val="0097079A"/>
    <w:rsid w:val="00CA0A5E"/>
    <w:rsid w:val="00CC0482"/>
    <w:rsid w:val="00F56E84"/>
    <w:rsid w:val="00FA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DD48"/>
  <w15:chartTrackingRefBased/>
  <w15:docId w15:val="{746E4F23-627A-4CBD-BA84-918B54A0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255"/>
  </w:style>
  <w:style w:type="paragraph" w:styleId="Footer">
    <w:name w:val="footer"/>
    <w:basedOn w:val="Normal"/>
    <w:link w:val="FooterChar"/>
    <w:uiPriority w:val="99"/>
    <w:unhideWhenUsed/>
    <w:rsid w:val="00150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Narayanaswami,Pushpa  (HMFP - Neurology)</dc:creator>
  <cp:keywords/>
  <dc:description/>
  <cp:lastModifiedBy>Narayanaswami,Pushpa  (HMFP - Neurology)</cp:lastModifiedBy>
  <cp:revision>7</cp:revision>
  <dcterms:created xsi:type="dcterms:W3CDTF">2020-07-04T20:52:00Z</dcterms:created>
  <dcterms:modified xsi:type="dcterms:W3CDTF">2020-07-11T02:00:00Z</dcterms:modified>
</cp:coreProperties>
</file>