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8D71" w14:textId="2D1F0C9C" w:rsidR="00344421" w:rsidRPr="000265CF" w:rsidRDefault="00AE696F" w:rsidP="00344421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Supplemental </w:t>
      </w:r>
      <w:r w:rsidR="00344421" w:rsidRPr="000265CF">
        <w:rPr>
          <w:rFonts w:asciiTheme="minorHAnsi" w:hAnsiTheme="minorHAnsi" w:cstheme="minorHAnsi"/>
          <w:b/>
          <w:bCs/>
          <w:lang w:val="en-US"/>
        </w:rPr>
        <w:t xml:space="preserve">Table 1. </w:t>
      </w:r>
      <w:r w:rsidR="00344421" w:rsidRPr="000265CF">
        <w:rPr>
          <w:rFonts w:asciiTheme="minorHAnsi" w:hAnsiTheme="minorHAnsi" w:cstheme="minorHAnsi"/>
          <w:bCs/>
          <w:lang w:val="en-US"/>
        </w:rPr>
        <w:t xml:space="preserve">Study variables in control girls (N= 31) and in girls with polycystic ovary syndrome. Girls with PCOS were randomized to receive oral contraception (OC, </w:t>
      </w:r>
      <w:r w:rsidR="00344421" w:rsidRPr="000265CF">
        <w:rPr>
          <w:rFonts w:asciiTheme="minorHAnsi" w:hAnsiTheme="minorHAnsi" w:cstheme="minorHAnsi"/>
          <w:lang w:val="en-US"/>
        </w:rPr>
        <w:t>Ethinylestratiol 20 µg plus Levonorgestrel 100 mg)</w:t>
      </w:r>
      <w:r w:rsidR="00344421" w:rsidRPr="000265CF">
        <w:rPr>
          <w:rFonts w:asciiTheme="minorHAnsi" w:hAnsiTheme="minorHAnsi" w:cstheme="minorHAnsi"/>
          <w:bCs/>
          <w:lang w:val="en-US"/>
        </w:rPr>
        <w:t xml:space="preserve"> or a low-dose combination of Spironolactone (50mg/ d), Pioglitazone (7.5 mg/ d) and Metformin (850 mg/ d) (SPIOMET) for 1 year. Baseline data are presented for </w:t>
      </w:r>
      <w:r w:rsidR="000265CF">
        <w:rPr>
          <w:rFonts w:asciiTheme="minorHAnsi" w:hAnsiTheme="minorHAnsi" w:cstheme="minorHAnsi"/>
          <w:bCs/>
          <w:lang w:val="en-US"/>
        </w:rPr>
        <w:t>N</w:t>
      </w:r>
      <w:r w:rsidR="00344421" w:rsidRPr="000265CF">
        <w:rPr>
          <w:rFonts w:asciiTheme="minorHAnsi" w:hAnsiTheme="minorHAnsi" w:cstheme="minorHAnsi"/>
          <w:bCs/>
          <w:lang w:val="en-US"/>
        </w:rPr>
        <w:t>=</w:t>
      </w:r>
      <w:r w:rsidR="000265CF">
        <w:rPr>
          <w:rFonts w:asciiTheme="minorHAnsi" w:hAnsiTheme="minorHAnsi" w:cstheme="minorHAnsi"/>
          <w:bCs/>
          <w:lang w:val="en-US"/>
        </w:rPr>
        <w:t xml:space="preserve"> </w:t>
      </w:r>
      <w:r w:rsidR="00344421" w:rsidRPr="000265CF">
        <w:rPr>
          <w:rFonts w:asciiTheme="minorHAnsi" w:hAnsiTheme="minorHAnsi" w:cstheme="minorHAnsi"/>
          <w:bCs/>
          <w:lang w:val="en-US"/>
        </w:rPr>
        <w:t>30 girls with PCOS. Longitudinal data are shown from N= 23 girls with PCOS (N=</w:t>
      </w:r>
      <w:r w:rsidR="000265CF">
        <w:rPr>
          <w:rFonts w:asciiTheme="minorHAnsi" w:hAnsiTheme="minorHAnsi" w:cstheme="minorHAnsi"/>
          <w:bCs/>
          <w:lang w:val="en-US"/>
        </w:rPr>
        <w:t xml:space="preserve"> </w:t>
      </w:r>
      <w:r w:rsidR="00344421" w:rsidRPr="000265CF">
        <w:rPr>
          <w:rFonts w:asciiTheme="minorHAnsi" w:hAnsiTheme="minorHAnsi" w:cstheme="minorHAnsi"/>
          <w:bCs/>
          <w:lang w:val="en-US"/>
        </w:rPr>
        <w:t>12 on OC; N=</w:t>
      </w:r>
      <w:r w:rsidR="000265CF">
        <w:rPr>
          <w:rFonts w:asciiTheme="minorHAnsi" w:hAnsiTheme="minorHAnsi" w:cstheme="minorHAnsi"/>
          <w:bCs/>
          <w:lang w:val="en-US"/>
        </w:rPr>
        <w:t xml:space="preserve"> </w:t>
      </w:r>
      <w:r w:rsidR="00344421" w:rsidRPr="000265CF">
        <w:rPr>
          <w:rFonts w:asciiTheme="minorHAnsi" w:hAnsiTheme="minorHAnsi" w:cstheme="minorHAnsi"/>
          <w:bCs/>
          <w:lang w:val="en-US"/>
        </w:rPr>
        <w:t>11 on SPIOMET) with available stool samples for microbiota analysis at baseline and after 1 year.</w:t>
      </w:r>
    </w:p>
    <w:p w14:paraId="25AC1393" w14:textId="77777777" w:rsidR="00344421" w:rsidRPr="000265CF" w:rsidRDefault="00344421" w:rsidP="00344421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en-US"/>
        </w:rPr>
      </w:pPr>
    </w:p>
    <w:tbl>
      <w:tblPr>
        <w:tblStyle w:val="Tablaconcuadrcula"/>
        <w:tblW w:w="15650" w:type="dxa"/>
        <w:tblLayout w:type="fixed"/>
        <w:tblLook w:val="04A0" w:firstRow="1" w:lastRow="0" w:firstColumn="1" w:lastColumn="0" w:noHBand="0" w:noVBand="1"/>
      </w:tblPr>
      <w:tblGrid>
        <w:gridCol w:w="3367"/>
        <w:gridCol w:w="31"/>
        <w:gridCol w:w="1529"/>
        <w:gridCol w:w="1529"/>
        <w:gridCol w:w="28"/>
        <w:gridCol w:w="1502"/>
        <w:gridCol w:w="56"/>
        <w:gridCol w:w="1417"/>
        <w:gridCol w:w="57"/>
        <w:gridCol w:w="1507"/>
        <w:gridCol w:w="23"/>
        <w:gridCol w:w="1534"/>
        <w:gridCol w:w="1530"/>
        <w:gridCol w:w="33"/>
        <w:gridCol w:w="1507"/>
      </w:tblGrid>
      <w:tr w:rsidR="00344421" w:rsidRPr="000265CF" w14:paraId="746A48C2" w14:textId="77777777" w:rsidTr="00362831"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77BB0E" w14:textId="77777777" w:rsidR="00344421" w:rsidRPr="000265CF" w:rsidRDefault="00344421" w:rsidP="0036283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D4FDAF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Controls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B8FBEC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PCOS</w:t>
            </w:r>
          </w:p>
        </w:tc>
        <w:tc>
          <w:tcPr>
            <w:tcW w:w="45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7713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OC (N= 12)</w:t>
            </w:r>
          </w:p>
        </w:tc>
        <w:tc>
          <w:tcPr>
            <w:tcW w:w="46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E8A3F" w14:textId="1C0D910C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SPIOMET (N=</w:t>
            </w:r>
            <w:r w:rsidR="000265CF">
              <w:rPr>
                <w:rFonts w:asciiTheme="minorHAnsi" w:hAnsiTheme="minorHAnsi" w:cstheme="minorHAnsi"/>
                <w:b/>
              </w:rPr>
              <w:t xml:space="preserve"> </w:t>
            </w:r>
            <w:r w:rsidRPr="000265CF">
              <w:rPr>
                <w:rFonts w:asciiTheme="minorHAnsi" w:hAnsiTheme="minorHAnsi" w:cstheme="minorHAnsi"/>
                <w:b/>
              </w:rPr>
              <w:t>11)</w:t>
            </w:r>
          </w:p>
        </w:tc>
      </w:tr>
      <w:tr w:rsidR="00344421" w:rsidRPr="000265CF" w14:paraId="2A169ED4" w14:textId="77777777" w:rsidTr="00362831">
        <w:tc>
          <w:tcPr>
            <w:tcW w:w="33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762B52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68BCEF" w14:textId="0D7138BB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(N=</w:t>
            </w:r>
            <w:r w:rsidR="000265CF">
              <w:rPr>
                <w:rFonts w:asciiTheme="minorHAnsi" w:hAnsiTheme="minorHAnsi" w:cstheme="minorHAnsi"/>
                <w:b/>
              </w:rPr>
              <w:t xml:space="preserve"> </w:t>
            </w:r>
            <w:r w:rsidRPr="000265CF">
              <w:rPr>
                <w:rFonts w:asciiTheme="minorHAnsi" w:hAnsiTheme="minorHAnsi" w:cstheme="minorHAnsi"/>
                <w:b/>
              </w:rPr>
              <w:t>31)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24F5FD" w14:textId="7318DE1A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(N=</w:t>
            </w:r>
            <w:r w:rsidR="000265CF">
              <w:rPr>
                <w:rFonts w:asciiTheme="minorHAnsi" w:hAnsiTheme="minorHAnsi" w:cstheme="minorHAnsi"/>
                <w:b/>
              </w:rPr>
              <w:t xml:space="preserve"> </w:t>
            </w:r>
            <w:r w:rsidRPr="000265CF">
              <w:rPr>
                <w:rFonts w:asciiTheme="minorHAnsi" w:hAnsiTheme="minorHAnsi" w:cstheme="minorHAnsi"/>
                <w:b/>
              </w:rPr>
              <w:t>30)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FDCA9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 xml:space="preserve">Start </w:t>
            </w:r>
            <w:r w:rsidRPr="000265CF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52015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1 year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0A0B1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  <w:i/>
                <w:iCs/>
              </w:rPr>
              <w:t>Δ 0-1 year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58832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 xml:space="preserve">Start </w:t>
            </w:r>
            <w:r w:rsidRPr="000265CF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ACCE6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1 year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763D3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  <w:i/>
                <w:iCs/>
              </w:rPr>
              <w:t>Δ 0-1 year</w:t>
            </w:r>
          </w:p>
        </w:tc>
      </w:tr>
      <w:tr w:rsidR="00344421" w:rsidRPr="000265CF" w14:paraId="34F53425" w14:textId="77777777" w:rsidTr="000265CF">
        <w:trPr>
          <w:trHeight w:val="284"/>
        </w:trPr>
        <w:tc>
          <w:tcPr>
            <w:tcW w:w="1565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7E190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  <w:b/>
              </w:rPr>
              <w:t>Auxology</w:t>
            </w:r>
          </w:p>
        </w:tc>
      </w:tr>
      <w:tr w:rsidR="00344421" w:rsidRPr="000265CF" w14:paraId="2D61BB92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DE3952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Age (years)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49DC6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15.9 ± 0.2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9823B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15.8 ± 0.3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9E2ED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15.6 ± 0.5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76E8E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D1019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-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C36CF6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15.6 ± 0.4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BE87B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16867C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-</w:t>
            </w:r>
          </w:p>
        </w:tc>
      </w:tr>
      <w:tr w:rsidR="00344421" w:rsidRPr="000265CF" w14:paraId="7712B095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65A310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Birth weight Z-score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2D5A2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0.1 ± 0.2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E9677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-0.6 ± 0.2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33D2B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-0.8 ± 0.3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B78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5C819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-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E4C19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-0.5 ± 0.3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C29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50492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-</w:t>
            </w:r>
          </w:p>
        </w:tc>
      </w:tr>
      <w:tr w:rsidR="00344421" w:rsidRPr="000265CF" w14:paraId="1A7C468C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0D4169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BMI (kg/ m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65C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93279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22 ± 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62D2D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25 ± 1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40C15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25 ± 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67BC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26 ± 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07523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1.6 ± 0.4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E9E86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24 ±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5FB9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24 ±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114B2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-0.2 ± 0.9</w:t>
            </w:r>
          </w:p>
        </w:tc>
      </w:tr>
      <w:tr w:rsidR="00344421" w:rsidRPr="000265CF" w14:paraId="0327E90F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AB319E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BMI Z-score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9B3C3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0.1 ± 0.2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60C35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1.1 ± 0.2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32F2D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1.0 ± 0.3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BF7B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1.5 ± 0.4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7A922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0.5 ± 0.1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44B86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0.9 ± 0.4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4A8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0.8 ± 0.4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D1654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-0.1 ± 0.5</w:t>
            </w:r>
          </w:p>
        </w:tc>
      </w:tr>
      <w:tr w:rsidR="00344421" w:rsidRPr="000265CF" w14:paraId="5116380E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48CC3" w14:textId="77777777" w:rsidR="00344421" w:rsidRPr="000265CF" w:rsidRDefault="00344421" w:rsidP="00362831">
            <w:pPr>
              <w:rPr>
                <w:rFonts w:asciiTheme="minorHAnsi" w:hAnsiTheme="minorHAnsi" w:cstheme="minorHAnsi"/>
                <w:lang w:val="en-US"/>
              </w:rPr>
            </w:pPr>
            <w:r w:rsidRPr="000265CF">
              <w:rPr>
                <w:rFonts w:asciiTheme="minorHAnsi" w:hAnsiTheme="minorHAnsi" w:cstheme="minorHAnsi"/>
                <w:iCs/>
              </w:rPr>
              <w:t>Δ</w:t>
            </w:r>
            <w:r w:rsidRPr="000265CF">
              <w:rPr>
                <w:rFonts w:asciiTheme="minorHAnsi" w:hAnsiTheme="minorHAnsi" w:cstheme="minorHAnsi"/>
                <w:iCs/>
                <w:lang w:val="en-US"/>
              </w:rPr>
              <w:t xml:space="preserve"> Z-score birth weight - BMI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38E40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-0.1 ± 0.2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91444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1.6 ± 0.3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F4256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1.7 ± 0.4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4B348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-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2A4E7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-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122DD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1.4 ± 0.6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7634F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DA3AF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-</w:t>
            </w:r>
          </w:p>
        </w:tc>
      </w:tr>
      <w:tr w:rsidR="00344421" w:rsidRPr="000265CF" w14:paraId="01E9B10C" w14:textId="77777777" w:rsidTr="000265CF">
        <w:trPr>
          <w:trHeight w:val="284"/>
        </w:trPr>
        <w:tc>
          <w:tcPr>
            <w:tcW w:w="1565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14ED2" w14:textId="77777777" w:rsidR="00344421" w:rsidRPr="000265CF" w:rsidRDefault="00344421" w:rsidP="00362831">
            <w:pPr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Endocrine – Metabolic Variables</w:t>
            </w:r>
          </w:p>
        </w:tc>
      </w:tr>
      <w:tr w:rsidR="00344421" w:rsidRPr="000265CF" w14:paraId="6903D6C9" w14:textId="77777777" w:rsidTr="00A54517">
        <w:trPr>
          <w:trHeight w:val="284"/>
        </w:trPr>
        <w:tc>
          <w:tcPr>
            <w:tcW w:w="33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9DC44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Testosterone (nmol/ L)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FC424C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1.0 ± 0.1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C3AB7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1.3 ± 0.1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7954DB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1.3 ± 0.3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57BF" w14:textId="3F3FCA20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265CF">
              <w:rPr>
                <w:rFonts w:asciiTheme="minorHAnsi" w:hAnsiTheme="minorHAnsi" w:cstheme="minorHAnsi"/>
              </w:rPr>
              <w:t xml:space="preserve">0.9 ± 0.1 </w:t>
            </w:r>
            <w:r w:rsidR="00A54517" w:rsidRPr="000265CF">
              <w:rPr>
                <w:rFonts w:asciiTheme="minorHAnsi" w:hAnsiTheme="minorHAnsi" w:cstheme="minorHAnsi"/>
                <w:vertAlign w:val="superscript"/>
              </w:rPr>
              <w:t>h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7DA146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-0.4 ± 0.2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44C867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1.3 ± 0.2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D0143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1.0 ± 0.2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h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7A3912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-0.3 ± 0.2 </w:t>
            </w:r>
          </w:p>
        </w:tc>
      </w:tr>
      <w:tr w:rsidR="00344421" w:rsidRPr="000265CF" w14:paraId="0A27137F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53CC83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SHBG (nmol/ L)</w:t>
            </w:r>
            <w:r w:rsidRPr="000265CF">
              <w:rPr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  <w:lang w:eastAsia="es-ES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D9A23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265CF">
              <w:rPr>
                <w:rFonts w:asciiTheme="minorHAnsi" w:hAnsiTheme="minorHAnsi" w:cstheme="minorHAnsi"/>
              </w:rPr>
              <w:t>65 ± 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31160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265CF">
              <w:rPr>
                <w:rFonts w:asciiTheme="minorHAnsi" w:hAnsiTheme="minorHAnsi" w:cstheme="minorHAnsi"/>
              </w:rPr>
              <w:t xml:space="preserve">32 ± 3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***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26388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35 ± 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3DF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58 ± 9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1F56A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24 ± 6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4B905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33 ±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E483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32 ± 4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55D05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-2 ± 2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>g</w:t>
            </w:r>
          </w:p>
        </w:tc>
      </w:tr>
      <w:tr w:rsidR="00344421" w:rsidRPr="000265CF" w14:paraId="2768CFFE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2399D9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 xml:space="preserve">FAI 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D1E1D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1.7 ± 0.2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D1BDF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 6.4 ± 0.8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***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7068F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6.8 ± 1.2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CDB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3.0 ± 1.1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BE384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-3.8 ± 1.1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82A79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6.1 ± 1.6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CF2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3.9 ± 0.4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0EE4B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-2.2 ± 1.3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</w:t>
            </w:r>
          </w:p>
        </w:tc>
      </w:tr>
      <w:tr w:rsidR="00344421" w:rsidRPr="000265CF" w14:paraId="70F70B77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000DC0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Fasting insulin (pmol/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1C6DB8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       63 ± 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AA0621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      70 ± 8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BA1B7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67 ± 12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CB19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77 ± 9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F6F13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11 ± 10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9167C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55 ±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4D7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39 ± 6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735E5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-16 ± 10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>e</w:t>
            </w:r>
          </w:p>
        </w:tc>
      </w:tr>
      <w:tr w:rsidR="00344421" w:rsidRPr="000265CF" w14:paraId="4F6E5274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7FC8BE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HOMA-IR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450C3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2.0 ± 0.2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F3A3F4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     2.1 ± 0.3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E5A40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2.0 ± 0.4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78F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265CF">
              <w:rPr>
                <w:rFonts w:asciiTheme="minorHAnsi" w:hAnsiTheme="minorHAnsi" w:cstheme="minorHAnsi"/>
              </w:rPr>
              <w:t xml:space="preserve">2.2 ± 0.2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7735B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0.2 ± 0.3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5521F8" w14:textId="53ADAEBB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</w:t>
            </w:r>
            <w:r w:rsidR="00A87CB2" w:rsidRPr="000265CF">
              <w:rPr>
                <w:rFonts w:asciiTheme="minorHAnsi" w:hAnsiTheme="minorHAnsi" w:cstheme="minorHAnsi"/>
              </w:rPr>
              <w:t>7</w:t>
            </w:r>
            <w:r w:rsidRPr="000265CF">
              <w:rPr>
                <w:rFonts w:asciiTheme="minorHAnsi" w:hAnsiTheme="minorHAnsi" w:cstheme="minorHAnsi"/>
              </w:rPr>
              <w:t xml:space="preserve"> ± 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1B8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1.1 ± 0.2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FE14BD" w14:textId="72AD1BBE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-0</w:t>
            </w:r>
            <w:r w:rsidR="00A87CB2" w:rsidRPr="000265CF">
              <w:rPr>
                <w:rFonts w:asciiTheme="minorHAnsi" w:hAnsiTheme="minorHAnsi" w:cstheme="minorHAnsi"/>
                <w:i/>
              </w:rPr>
              <w:t>.6</w:t>
            </w:r>
            <w:r w:rsidRPr="000265CF">
              <w:rPr>
                <w:rFonts w:asciiTheme="minorHAnsi" w:hAnsiTheme="minorHAnsi" w:cstheme="minorHAnsi"/>
                <w:i/>
              </w:rPr>
              <w:t xml:space="preserve"> ± 0.3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e</w:t>
            </w:r>
          </w:p>
        </w:tc>
      </w:tr>
      <w:tr w:rsidR="00344421" w:rsidRPr="000265CF" w14:paraId="255F4408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5E0408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  <w:lang w:val="en-US"/>
              </w:rPr>
            </w:pPr>
            <w:r w:rsidRPr="000265CF">
              <w:rPr>
                <w:rFonts w:asciiTheme="minorHAnsi" w:hAnsiTheme="minorHAnsi" w:cstheme="minorHAnsi"/>
                <w:color w:val="231F20"/>
                <w:lang w:val="en-US"/>
              </w:rPr>
              <w:t>ALT (µkat/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CD833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0.27 ± 0.01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FCCC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0.25 ± 0.02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D04C4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0.24 ± 0.02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2DE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 xml:space="preserve">0.35 ± 0.05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4970B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0265CF">
              <w:rPr>
                <w:rFonts w:asciiTheme="minorHAnsi" w:hAnsiTheme="minorHAnsi" w:cstheme="minorHAnsi"/>
                <w:i/>
              </w:rPr>
              <w:t>0.10  ± 0.05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7559F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0.27 ± 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675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0.24 ± 0.03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723B7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-0.03 ± 0.02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 e</w:t>
            </w:r>
          </w:p>
        </w:tc>
      </w:tr>
      <w:tr w:rsidR="00344421" w:rsidRPr="000265CF" w14:paraId="0C9CF65A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C1A28C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 xml:space="preserve">AST </w:t>
            </w:r>
            <w:r w:rsidRPr="000265CF">
              <w:rPr>
                <w:rFonts w:asciiTheme="minorHAnsi" w:hAnsiTheme="minorHAnsi" w:cstheme="minorHAnsi"/>
                <w:color w:val="231F20"/>
                <w:lang w:val="en-US"/>
              </w:rPr>
              <w:t>(µkat/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85C52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0.32 ± 0.01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EA33E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0.29 ± 0.02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D5F59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0.27 ± 0.02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79E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0.28 ± 0.02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1E568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0265CF">
              <w:rPr>
                <w:rFonts w:asciiTheme="minorHAnsi" w:hAnsiTheme="minorHAnsi" w:cstheme="minorHAnsi"/>
                <w:i/>
              </w:rPr>
              <w:t>0.01 ± 0.01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EA8CA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0.34 ± 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B61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0.28 ± 0.02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AF640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0265CF">
              <w:rPr>
                <w:rFonts w:asciiTheme="minorHAnsi" w:hAnsiTheme="minorHAnsi" w:cstheme="minorHAnsi"/>
                <w:i/>
              </w:rPr>
              <w:t>-0.05 ± 0.07</w:t>
            </w:r>
          </w:p>
        </w:tc>
      </w:tr>
      <w:tr w:rsidR="00344421" w:rsidRPr="000265CF" w14:paraId="40AB3E61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A388B3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GGT (</w:t>
            </w:r>
            <w:r w:rsidRPr="000265CF">
              <w:rPr>
                <w:rFonts w:asciiTheme="minorHAnsi" w:hAnsiTheme="minorHAnsi" w:cstheme="minorHAnsi"/>
                <w:color w:val="231F20"/>
                <w:lang w:val="en-US"/>
              </w:rPr>
              <w:t>µkat/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C0291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0.22 ± 0.01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F5777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0.24 ± 0.01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F5638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0.23 ± 0.02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149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0.30 ± 0.04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3A1FC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0.06 ± 0.03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E1B6A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0.23 ± 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5E8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0.20 ± 0.01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b 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BF870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0265CF">
              <w:rPr>
                <w:rFonts w:asciiTheme="minorHAnsi" w:hAnsiTheme="minorHAnsi" w:cstheme="minorHAnsi"/>
                <w:i/>
              </w:rPr>
              <w:t>-0.03 ± 0.01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 f</w:t>
            </w:r>
          </w:p>
        </w:tc>
      </w:tr>
      <w:tr w:rsidR="00344421" w:rsidRPr="000265CF" w14:paraId="22607684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84E33D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HDL-cholesterol (mmol/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0E400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1.4 ± 0.0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BB0E1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1.3 ± 0.1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18F94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1.4 ± 0.1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E51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1.4 ± 0.1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4873B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0.0 ± 0.1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8BCF5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1.4 ± 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9F6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1.4 ± 0.1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5678A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0.1 ± 0.1</w:t>
            </w:r>
          </w:p>
        </w:tc>
      </w:tr>
      <w:tr w:rsidR="00344421" w:rsidRPr="000265CF" w14:paraId="2DA0112E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F6E7B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LDL-cholesterol (mmol/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2E5E4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2.3 ± 0.1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E4358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2.2 ± 0.1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E5F3B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2.3 ± 0.2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FA3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2.8 ± 0.2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61F88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0.5 ± 0.2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890F7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2.1 ± 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24B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2.1 ± 0.2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4379A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0.0 ± 0.1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>e</w:t>
            </w:r>
          </w:p>
        </w:tc>
      </w:tr>
      <w:tr w:rsidR="00344421" w:rsidRPr="000265CF" w14:paraId="476B3B3F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BFED0C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265CF">
              <w:rPr>
                <w:rFonts w:asciiTheme="minorHAnsi" w:hAnsiTheme="minorHAnsi" w:cstheme="minorHAnsi"/>
              </w:rPr>
              <w:t>Triglycerides (mmol/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F5CF5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0.6 ± 0.0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1EDD8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0.7 ± 0.0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26012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0.7 ± 0.1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FEF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0.8 ± 0.1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706D2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0.1 ± 0.1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182AB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0.7 ± 0.1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752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0.8 ± 0.1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39A49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0.1 ± 0.1</w:t>
            </w:r>
          </w:p>
        </w:tc>
      </w:tr>
      <w:tr w:rsidR="00344421" w:rsidRPr="000265CF" w14:paraId="5CA0D8E6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CCC14A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HMW-adiponectin (mg/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20392F" w14:textId="5624AD2C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7</w:t>
            </w:r>
            <w:r w:rsidR="002849B3" w:rsidRPr="000265CF">
              <w:rPr>
                <w:rFonts w:asciiTheme="minorHAnsi" w:hAnsiTheme="minorHAnsi" w:cstheme="minorHAnsi"/>
                <w:color w:val="231F20"/>
              </w:rPr>
              <w:t>.4</w:t>
            </w:r>
            <w:r w:rsidRPr="000265CF">
              <w:rPr>
                <w:rFonts w:asciiTheme="minorHAnsi" w:hAnsiTheme="minorHAnsi" w:cstheme="minorHAnsi"/>
                <w:color w:val="231F20"/>
              </w:rPr>
              <w:t xml:space="preserve"> ± </w:t>
            </w:r>
            <w:r w:rsidR="002849B3" w:rsidRPr="000265CF">
              <w:rPr>
                <w:rFonts w:asciiTheme="minorHAnsi" w:hAnsiTheme="minorHAnsi" w:cstheme="minorHAnsi"/>
                <w:color w:val="231F20"/>
              </w:rPr>
              <w:t>0.7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3E78F2" w14:textId="2A1FC99D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="002849B3" w:rsidRPr="000265CF">
              <w:rPr>
                <w:rFonts w:asciiTheme="minorHAnsi" w:hAnsiTheme="minorHAnsi" w:cstheme="minorHAnsi"/>
                <w:color w:val="231F20"/>
              </w:rPr>
              <w:t>4.7</w:t>
            </w:r>
            <w:r w:rsidRPr="000265CF">
              <w:rPr>
                <w:rFonts w:asciiTheme="minorHAnsi" w:hAnsiTheme="minorHAnsi" w:cstheme="minorHAnsi"/>
                <w:color w:val="231F20"/>
              </w:rPr>
              <w:t xml:space="preserve"> ± </w:t>
            </w:r>
            <w:r w:rsidR="002849B3" w:rsidRPr="000265CF">
              <w:rPr>
                <w:rFonts w:asciiTheme="minorHAnsi" w:hAnsiTheme="minorHAnsi" w:cstheme="minorHAnsi"/>
                <w:color w:val="231F20"/>
              </w:rPr>
              <w:t>0.6</w:t>
            </w:r>
            <w:r w:rsidRPr="000265CF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B2B095" w14:textId="5FD5D203" w:rsidR="00344421" w:rsidRPr="000265CF" w:rsidRDefault="002849B3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5.3</w:t>
            </w:r>
            <w:r w:rsidR="00344421" w:rsidRPr="000265CF">
              <w:rPr>
                <w:rFonts w:asciiTheme="minorHAnsi" w:hAnsiTheme="minorHAnsi" w:cstheme="minorHAnsi"/>
                <w:color w:val="231F20"/>
              </w:rPr>
              <w:t xml:space="preserve"> ± 1</w:t>
            </w:r>
            <w:r w:rsidRPr="000265CF">
              <w:rPr>
                <w:rFonts w:asciiTheme="minorHAnsi" w:hAnsiTheme="minorHAnsi" w:cstheme="minorHAnsi"/>
                <w:color w:val="231F20"/>
              </w:rPr>
              <w:t>.0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27B5" w14:textId="7320053D" w:rsidR="00344421" w:rsidRPr="000265CF" w:rsidRDefault="002849B3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3.9</w:t>
            </w:r>
            <w:r w:rsidR="00344421" w:rsidRPr="000265CF">
              <w:rPr>
                <w:rFonts w:asciiTheme="minorHAnsi" w:hAnsiTheme="minorHAnsi" w:cstheme="minorHAnsi"/>
                <w:color w:val="231F20"/>
              </w:rPr>
              <w:t xml:space="preserve"> ± </w:t>
            </w:r>
            <w:r w:rsidRPr="000265CF">
              <w:rPr>
                <w:rFonts w:asciiTheme="minorHAnsi" w:hAnsiTheme="minorHAnsi" w:cstheme="minorHAnsi"/>
                <w:color w:val="231F20"/>
              </w:rPr>
              <w:t>0.5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5933F4" w14:textId="260549CB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231F20"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-</w:t>
            </w:r>
            <w:r w:rsidR="002849B3" w:rsidRPr="000265CF">
              <w:rPr>
                <w:rFonts w:asciiTheme="minorHAnsi" w:hAnsiTheme="minorHAnsi" w:cstheme="minorHAnsi"/>
                <w:i/>
                <w:color w:val="231F20"/>
              </w:rPr>
              <w:t>1.3</w:t>
            </w:r>
            <w:r w:rsidRPr="000265CF">
              <w:rPr>
                <w:rFonts w:asciiTheme="minorHAnsi" w:hAnsiTheme="minorHAnsi" w:cstheme="minorHAnsi"/>
                <w:i/>
                <w:color w:val="231F20"/>
              </w:rPr>
              <w:t xml:space="preserve"> ± </w:t>
            </w:r>
            <w:r w:rsidR="002849B3" w:rsidRPr="000265CF">
              <w:rPr>
                <w:rFonts w:asciiTheme="minorHAnsi" w:hAnsiTheme="minorHAnsi" w:cstheme="minorHAnsi"/>
                <w:i/>
                <w:color w:val="231F20"/>
              </w:rPr>
              <w:t>0.8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2AF262" w14:textId="4B055517" w:rsidR="00344421" w:rsidRPr="000265CF" w:rsidRDefault="002849B3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4.7</w:t>
            </w:r>
            <w:r w:rsidR="00344421" w:rsidRPr="000265CF">
              <w:rPr>
                <w:rFonts w:asciiTheme="minorHAnsi" w:hAnsiTheme="minorHAnsi" w:cstheme="minorHAnsi"/>
                <w:color w:val="231F20"/>
              </w:rPr>
              <w:t xml:space="preserve"> ± </w:t>
            </w:r>
            <w:r w:rsidRPr="000265CF">
              <w:rPr>
                <w:rFonts w:asciiTheme="minorHAnsi" w:hAnsiTheme="minorHAnsi" w:cstheme="minorHAnsi"/>
                <w:color w:val="231F20"/>
              </w:rPr>
              <w:t>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4BCD" w14:textId="51C812F2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7</w:t>
            </w:r>
            <w:r w:rsidR="002849B3" w:rsidRPr="000265CF">
              <w:rPr>
                <w:rFonts w:asciiTheme="minorHAnsi" w:hAnsiTheme="minorHAnsi" w:cstheme="minorHAnsi"/>
                <w:color w:val="231F20"/>
              </w:rPr>
              <w:t xml:space="preserve">.1 </w:t>
            </w:r>
            <w:r w:rsidRPr="000265CF">
              <w:rPr>
                <w:rFonts w:asciiTheme="minorHAnsi" w:hAnsiTheme="minorHAnsi" w:cstheme="minorHAnsi"/>
                <w:color w:val="231F20"/>
              </w:rPr>
              <w:t>± 1</w:t>
            </w:r>
            <w:r w:rsidR="002849B3" w:rsidRPr="000265CF">
              <w:rPr>
                <w:rFonts w:asciiTheme="minorHAnsi" w:hAnsiTheme="minorHAnsi" w:cstheme="minorHAnsi"/>
                <w:color w:val="231F20"/>
              </w:rPr>
              <w:t>.0</w:t>
            </w:r>
            <w:r w:rsidRPr="000265CF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0265CF">
              <w:rPr>
                <w:rFonts w:asciiTheme="minorHAnsi" w:hAnsiTheme="minorHAnsi" w:cstheme="minorHAnsi"/>
                <w:color w:val="231F20"/>
                <w:vertAlign w:val="superscript"/>
              </w:rPr>
              <w:t>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E5EC23" w14:textId="0D267E35" w:rsidR="00344421" w:rsidRPr="000265CF" w:rsidRDefault="002849B3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color w:val="231F20"/>
              </w:rPr>
            </w:pPr>
            <w:r w:rsidRPr="000265CF">
              <w:rPr>
                <w:rFonts w:asciiTheme="minorHAnsi" w:hAnsiTheme="minorHAnsi" w:cstheme="minorHAnsi"/>
                <w:i/>
                <w:color w:val="231F20"/>
              </w:rPr>
              <w:t>2.4</w:t>
            </w:r>
            <w:r w:rsidR="00344421" w:rsidRPr="000265CF">
              <w:rPr>
                <w:rFonts w:asciiTheme="minorHAnsi" w:hAnsiTheme="minorHAnsi" w:cstheme="minorHAnsi"/>
                <w:i/>
                <w:color w:val="231F20"/>
              </w:rPr>
              <w:t xml:space="preserve"> ± 1 </w:t>
            </w:r>
            <w:r w:rsidR="00344421" w:rsidRPr="000265CF">
              <w:rPr>
                <w:rFonts w:asciiTheme="minorHAnsi" w:hAnsiTheme="minorHAnsi" w:cstheme="minorHAnsi"/>
                <w:i/>
                <w:color w:val="231F20"/>
                <w:vertAlign w:val="superscript"/>
              </w:rPr>
              <w:t>f</w:t>
            </w:r>
          </w:p>
        </w:tc>
      </w:tr>
      <w:tr w:rsidR="00344421" w:rsidRPr="000265CF" w14:paraId="1C4F6D70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ADD5C2" w14:textId="77777777" w:rsidR="00344421" w:rsidRPr="000265CF" w:rsidRDefault="00344421" w:rsidP="00362831">
            <w:pPr>
              <w:widowControl w:val="0"/>
              <w:tabs>
                <w:tab w:val="left" w:pos="9072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31F20"/>
                <w:highlight w:val="yellow"/>
              </w:rPr>
            </w:pPr>
            <w:r w:rsidRPr="000265CF">
              <w:rPr>
                <w:rFonts w:asciiTheme="minorHAnsi" w:hAnsiTheme="minorHAnsi" w:cstheme="minorHAnsi"/>
                <w:color w:val="231F20"/>
              </w:rPr>
              <w:t>usCRP (nmol/ L)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EE440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6.4 ± 1.0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B47E22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   15.4 ± 3.5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57C40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11.0 ± 3.1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2D0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 xml:space="preserve">25.6 ± 6.4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B4B31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0265CF">
              <w:rPr>
                <w:rFonts w:asciiTheme="minorHAnsi" w:hAnsiTheme="minorHAnsi" w:cstheme="minorHAnsi"/>
                <w:i/>
              </w:rPr>
              <w:t>14.5 ± 5.9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469C9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>14.9 ± 4.4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520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265CF">
              <w:rPr>
                <w:rFonts w:asciiTheme="minorHAnsi" w:hAnsiTheme="minorHAnsi" w:cstheme="minorHAnsi"/>
              </w:rPr>
              <w:t xml:space="preserve">8.1 ± 3.5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b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40C19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-6.8 ± 4.1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f  </w:t>
            </w:r>
          </w:p>
        </w:tc>
      </w:tr>
      <w:tr w:rsidR="00344421" w:rsidRPr="000265CF" w14:paraId="07FDC74D" w14:textId="77777777" w:rsidTr="000265CF">
        <w:trPr>
          <w:trHeight w:val="284"/>
        </w:trPr>
        <w:tc>
          <w:tcPr>
            <w:tcW w:w="1565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262247" w14:textId="77777777" w:rsidR="00344421" w:rsidRPr="000265CF" w:rsidRDefault="00344421" w:rsidP="00362831">
            <w:pPr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 xml:space="preserve">Ovulatory function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¥</w:t>
            </w:r>
          </w:p>
        </w:tc>
      </w:tr>
      <w:tr w:rsidR="00344421" w:rsidRPr="000265CF" w14:paraId="0F582F51" w14:textId="77777777" w:rsidTr="00362831">
        <w:trPr>
          <w:trHeight w:val="284"/>
        </w:trPr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D38FB8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Total cycles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3D48E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22B58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C218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946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3 ± 0.4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4F156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49A7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6616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 xml:space="preserve">6 ± 0.2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  <w:tc>
          <w:tcPr>
            <w:tcW w:w="150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2C62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</w:tr>
      <w:tr w:rsidR="00344421" w:rsidRPr="000265CF" w14:paraId="31CA2B54" w14:textId="77777777" w:rsidTr="00362831">
        <w:trPr>
          <w:trHeight w:val="284"/>
        </w:trPr>
        <w:tc>
          <w:tcPr>
            <w:tcW w:w="33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C00E8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Total ovulations</w:t>
            </w:r>
          </w:p>
        </w:tc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5B8CE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8BAA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5E735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7C7BA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>2 ± 0.5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0400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C4691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0155F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</w:rPr>
              <w:t xml:space="preserve">4 ± 0.5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#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B320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</w:tr>
      <w:tr w:rsidR="00344421" w:rsidRPr="000265CF" w14:paraId="25AA07CE" w14:textId="77777777" w:rsidTr="000265CF">
        <w:trPr>
          <w:trHeight w:val="284"/>
        </w:trPr>
        <w:tc>
          <w:tcPr>
            <w:tcW w:w="1565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FCC6" w14:textId="77777777" w:rsidR="00344421" w:rsidRPr="000265CF" w:rsidRDefault="00344421" w:rsidP="00362831">
            <w:pPr>
              <w:rPr>
                <w:rFonts w:asciiTheme="minorHAnsi" w:hAnsiTheme="minorHAnsi" w:cstheme="minorHAnsi"/>
                <w:b/>
              </w:rPr>
            </w:pPr>
            <w:r w:rsidRPr="000265CF">
              <w:rPr>
                <w:rFonts w:asciiTheme="minorHAnsi" w:hAnsiTheme="minorHAnsi" w:cstheme="minorHAnsi"/>
                <w:b/>
              </w:rPr>
              <w:t>Body composition (DXA)</w:t>
            </w:r>
            <w:r w:rsidRPr="000265CF">
              <w:rPr>
                <w:rFonts w:asciiTheme="minorHAnsi" w:hAnsiTheme="minorHAnsi" w:cstheme="minorHAnsi"/>
                <w:b/>
                <w:vertAlign w:val="superscript"/>
              </w:rPr>
              <w:t xml:space="preserve"> ‡</w:t>
            </w:r>
          </w:p>
        </w:tc>
      </w:tr>
      <w:tr w:rsidR="00344421" w:rsidRPr="000265CF" w14:paraId="472E2D57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FA3571" w14:textId="77777777" w:rsidR="00344421" w:rsidRPr="000265CF" w:rsidRDefault="00344421" w:rsidP="00362831">
            <w:pPr>
              <w:rPr>
                <w:rFonts w:asciiTheme="minorHAnsi" w:hAnsiTheme="minorHAnsi" w:cstheme="minorHAnsi"/>
                <w:lang w:val="en-US"/>
              </w:rPr>
            </w:pPr>
            <w:r w:rsidRPr="000265CF">
              <w:rPr>
                <w:rFonts w:asciiTheme="minorHAnsi" w:hAnsiTheme="minorHAnsi" w:cstheme="minorHAnsi"/>
                <w:lang w:val="en-US"/>
              </w:rPr>
              <w:t>Bone mineral density (g/ cm</w:t>
            </w:r>
            <w:r w:rsidRPr="000265CF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  <w:r w:rsidRPr="000265CF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7E0EE1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1AD17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1.21 ± 0.02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EE32F7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1.18 ± 0.04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A051D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1.18 ± 0.04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70000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0.00 ± 0.01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CBD76A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1.21 ± 0.02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7E301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1.19 ± 0.03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3080ED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-0.02 ± 0.01</w:t>
            </w:r>
          </w:p>
        </w:tc>
      </w:tr>
      <w:tr w:rsidR="00344421" w:rsidRPr="000265CF" w14:paraId="6303AE71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8E3746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Lean mass (kg)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EB5C0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35A1E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37 ± 1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91DBD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37 ± 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796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38 ± 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5C79D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1 ± 1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BC2E9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36 ±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054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37 ± 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B7DF7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1 ± 1</w:t>
            </w:r>
          </w:p>
        </w:tc>
      </w:tr>
      <w:tr w:rsidR="00344421" w:rsidRPr="000265CF" w14:paraId="71158AC7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480E54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Fat mass (kg)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5A7ED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C1AFA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25 ± 2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7CDC4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23 ± 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9F2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27 ± 2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j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595AF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3 ± 1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03728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24 ±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C57E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23 ± 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D492E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 ± 2</w:t>
            </w:r>
          </w:p>
        </w:tc>
      </w:tr>
      <w:tr w:rsidR="00344421" w:rsidRPr="000265CF" w14:paraId="26A07CFA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9D7B9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Abdominal fat (kg)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55AF8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3C517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6.5 ± 0.4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0D564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6.4 ± 0.6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B305A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7.2 ± 0.7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j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EBE1CE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0.8 ± 0.3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2806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6.1 ± 0.7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444D0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5.9 ± 0.7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4BD11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-0.2 ± 0.4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>e</w:t>
            </w:r>
          </w:p>
        </w:tc>
      </w:tr>
      <w:tr w:rsidR="00344421" w:rsidRPr="000265CF" w14:paraId="450631A8" w14:textId="77777777" w:rsidTr="000265CF">
        <w:trPr>
          <w:trHeight w:val="284"/>
        </w:trPr>
        <w:tc>
          <w:tcPr>
            <w:tcW w:w="1565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749C6" w14:textId="77777777" w:rsidR="00344421" w:rsidRPr="000265CF" w:rsidRDefault="00344421" w:rsidP="00362831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0265CF">
              <w:rPr>
                <w:rFonts w:asciiTheme="minorHAnsi" w:hAnsiTheme="minorHAnsi" w:cstheme="minorHAnsi"/>
                <w:b/>
              </w:rPr>
              <w:t>Abdominal fat partioning (MRI)</w:t>
            </w:r>
          </w:p>
        </w:tc>
      </w:tr>
      <w:tr w:rsidR="00344421" w:rsidRPr="000265CF" w14:paraId="38C43395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ABD645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Subcutaneous fat (cm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65C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047DF8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98 ± 10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057C678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205 ± 24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2659D8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194 ± 35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58CC6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220 ± 35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h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CA7A55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 26 ± 10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67F3E2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194 ± 51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80D4C3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181 ± 42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6EE7E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 xml:space="preserve">-13 ± 28 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>e</w:t>
            </w:r>
          </w:p>
        </w:tc>
      </w:tr>
      <w:tr w:rsidR="00344421" w:rsidRPr="000265CF" w14:paraId="481C14BE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FBB5B7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Visceral fat (cm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2</w:t>
            </w:r>
            <w:r w:rsidRPr="000265C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771E7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29 ±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D8DE7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40 ± 4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DCA679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37 ± 5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j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3F0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43 ± 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DCFB6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6 ± 5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A589F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32 ±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9AF2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34 ± 4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B050E4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2 ± 4</w:t>
            </w:r>
          </w:p>
        </w:tc>
      </w:tr>
      <w:tr w:rsidR="00344421" w:rsidRPr="000265CF" w14:paraId="57A68891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5495A9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Hepatic fat (%)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FE7006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11 ±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1C8B4B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   17 ± 1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***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18926A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16 ± 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C20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18 ± 2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E05D8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2 ± 3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700017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19 ±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7795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10 ± 1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d 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B8411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-9 ± 1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g</w:t>
            </w:r>
          </w:p>
        </w:tc>
      </w:tr>
      <w:tr w:rsidR="00344421" w:rsidRPr="000265CF" w14:paraId="39FEA1A6" w14:textId="77777777" w:rsidTr="00362831">
        <w:trPr>
          <w:trHeight w:val="284"/>
        </w:trPr>
        <w:tc>
          <w:tcPr>
            <w:tcW w:w="33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201C3" w14:textId="77777777" w:rsidR="00344421" w:rsidRPr="000265CF" w:rsidRDefault="00344421" w:rsidP="00362831">
            <w:pPr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Central (hepato-visceral) fat</w:t>
            </w: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9A5C92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39 ± 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DE38DD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 xml:space="preserve">  57 ± 4 </w:t>
            </w:r>
            <w:r w:rsidRPr="000265CF">
              <w:rPr>
                <w:rFonts w:asciiTheme="minorHAnsi" w:hAnsiTheme="minorHAnsi" w:cstheme="minorHAnsi"/>
                <w:vertAlign w:val="superscript"/>
              </w:rPr>
              <w:t>**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38385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53 ± 5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D7764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62 ± 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1F6BC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9 ± 6</w:t>
            </w: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C35BD1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51 ±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A652BF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</w:rPr>
            </w:pPr>
            <w:r w:rsidRPr="000265CF">
              <w:rPr>
                <w:rFonts w:asciiTheme="minorHAnsi" w:hAnsiTheme="minorHAnsi" w:cstheme="minorHAnsi"/>
              </w:rPr>
              <w:t>45 ± 5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c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11990" w14:textId="77777777" w:rsidR="00344421" w:rsidRPr="000265CF" w:rsidRDefault="00344421" w:rsidP="0036283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265CF">
              <w:rPr>
                <w:rFonts w:asciiTheme="minorHAnsi" w:hAnsiTheme="minorHAnsi" w:cstheme="minorHAnsi"/>
                <w:i/>
              </w:rPr>
              <w:t>-7 ± 4</w:t>
            </w:r>
            <w:r w:rsidRPr="000265CF">
              <w:rPr>
                <w:rFonts w:asciiTheme="minorHAnsi" w:hAnsiTheme="minorHAnsi" w:cstheme="minorHAnsi"/>
                <w:i/>
                <w:vertAlign w:val="superscript"/>
              </w:rPr>
              <w:t xml:space="preserve"> e</w:t>
            </w:r>
          </w:p>
        </w:tc>
      </w:tr>
    </w:tbl>
    <w:p w14:paraId="788C2C5A" w14:textId="77777777" w:rsidR="00344421" w:rsidRPr="000265CF" w:rsidRDefault="00344421" w:rsidP="00344421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8E6ABD" w14:textId="77777777" w:rsidR="00344421" w:rsidRPr="000265CF" w:rsidRDefault="00344421" w:rsidP="00344421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0265CF">
        <w:rPr>
          <w:rFonts w:asciiTheme="minorHAnsi" w:hAnsiTheme="minorHAnsi" w:cstheme="minorHAnsi"/>
          <w:lang w:val="en-US"/>
        </w:rPr>
        <w:t xml:space="preserve">Values are mean ± standard error (SEM). </w:t>
      </w:r>
    </w:p>
    <w:p w14:paraId="56A199D1" w14:textId="77777777" w:rsidR="00344421" w:rsidRPr="000265CF" w:rsidRDefault="00344421" w:rsidP="00344421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1096D9DE" w14:textId="77777777" w:rsidR="00344421" w:rsidRPr="000265CF" w:rsidRDefault="00344421" w:rsidP="00344421">
      <w:pPr>
        <w:jc w:val="both"/>
        <w:rPr>
          <w:rFonts w:asciiTheme="minorHAnsi" w:hAnsiTheme="minorHAnsi" w:cstheme="minorHAnsi"/>
          <w:lang w:val="en-US"/>
        </w:rPr>
      </w:pPr>
      <w:r w:rsidRPr="000265CF">
        <w:rPr>
          <w:rFonts w:asciiTheme="minorHAnsi" w:hAnsiTheme="minorHAnsi" w:cstheme="minorHAnsi"/>
          <w:lang w:val="en-US"/>
        </w:rPr>
        <w:t>BMI, body mass index; SHBG, sex hormone-binding globulin; FAI, free androgen index; HOMA-IR, homeostasis model assessment insulin resistance; ALT, alanine transaminase; AST, aspartate transaminase; GGT, gamma-glutamyl transpeptidase; HDL, high-density lipoprotein; LDL, low-density lipoprotein; HMW, high molecular weight; usCRP, ultrasensitive C-reactive protein; DXA, dual X-ray absorptiometry; MRI, magnetic resonance imaging.</w:t>
      </w:r>
    </w:p>
    <w:p w14:paraId="0630E58E" w14:textId="77777777" w:rsidR="00344421" w:rsidRPr="000265CF" w:rsidRDefault="00344421" w:rsidP="00344421">
      <w:pPr>
        <w:jc w:val="both"/>
        <w:rPr>
          <w:rFonts w:asciiTheme="minorHAnsi" w:hAnsiTheme="minorHAnsi" w:cstheme="minorHAnsi"/>
          <w:lang w:val="en-US"/>
        </w:rPr>
      </w:pPr>
    </w:p>
    <w:p w14:paraId="1CE32C24" w14:textId="77777777" w:rsidR="00344421" w:rsidRPr="000265CF" w:rsidRDefault="00344421" w:rsidP="00344421">
      <w:pPr>
        <w:jc w:val="both"/>
        <w:rPr>
          <w:rFonts w:asciiTheme="minorHAnsi" w:hAnsiTheme="minorHAnsi" w:cstheme="minorHAnsi"/>
          <w:lang w:val="en-US"/>
        </w:rPr>
      </w:pPr>
      <w:r w:rsidRPr="000265CF">
        <w:rPr>
          <w:rFonts w:asciiTheme="minorHAnsi" w:hAnsiTheme="minorHAnsi" w:cstheme="minorHAnsi"/>
          <w:vertAlign w:val="superscript"/>
          <w:lang w:val="en-US"/>
        </w:rPr>
        <w:t xml:space="preserve">¥ </w:t>
      </w:r>
      <w:r w:rsidRPr="000265CF">
        <w:rPr>
          <w:rFonts w:asciiTheme="minorHAnsi" w:hAnsiTheme="minorHAnsi" w:cstheme="minorHAnsi"/>
          <w:lang w:val="en-US"/>
        </w:rPr>
        <w:t xml:space="preserve">Total numbers of cycles and ovulations over two periods of 12 consecutive weeks, during the second and fourth trimesters of the post-treatment year. </w:t>
      </w:r>
    </w:p>
    <w:p w14:paraId="5221135B" w14:textId="77777777" w:rsidR="00344421" w:rsidRPr="000265CF" w:rsidRDefault="00344421" w:rsidP="00344421">
      <w:pPr>
        <w:jc w:val="both"/>
        <w:rPr>
          <w:rFonts w:asciiTheme="minorHAnsi" w:hAnsiTheme="minorHAnsi" w:cstheme="minorHAnsi"/>
          <w:lang w:val="en-US"/>
        </w:rPr>
      </w:pPr>
    </w:p>
    <w:p w14:paraId="59F05F53" w14:textId="026F85F9" w:rsidR="00344421" w:rsidRPr="000265CF" w:rsidRDefault="00344421" w:rsidP="00344421">
      <w:pPr>
        <w:jc w:val="both"/>
        <w:rPr>
          <w:rFonts w:asciiTheme="minorHAnsi" w:hAnsiTheme="minorHAnsi" w:cstheme="minorHAnsi"/>
          <w:lang w:val="en-US"/>
        </w:rPr>
      </w:pPr>
      <w:r w:rsidRPr="000265CF">
        <w:rPr>
          <w:rFonts w:asciiTheme="minorHAnsi" w:hAnsiTheme="minorHAnsi" w:cstheme="minorHAnsi"/>
          <w:vertAlign w:val="superscript"/>
          <w:lang w:val="en-US"/>
        </w:rPr>
        <w:t xml:space="preserve">‡ </w:t>
      </w:r>
      <w:r w:rsidRPr="000265CF">
        <w:rPr>
          <w:rFonts w:asciiTheme="minorHAnsi" w:hAnsiTheme="minorHAnsi" w:cstheme="minorHAnsi"/>
          <w:lang w:val="en-US"/>
        </w:rPr>
        <w:t xml:space="preserve">Indicative DXA values in healthy adolescents, matched for age and height (N= 41): lean mass 35.1 ± 1.0 kg; fat mass 17.6 ± 1.4 kg </w:t>
      </w:r>
      <w:r w:rsidR="000265CF" w:rsidRPr="000265CF">
        <w:rPr>
          <w:rFonts w:asciiTheme="minorHAnsi" w:hAnsiTheme="minorHAnsi" w:cstheme="minorHAnsi"/>
          <w:lang w:val="en-US"/>
        </w:rPr>
        <w:t xml:space="preserve">(6). </w:t>
      </w:r>
    </w:p>
    <w:p w14:paraId="7585E81D" w14:textId="77777777" w:rsidR="00344421" w:rsidRPr="000265CF" w:rsidRDefault="00344421" w:rsidP="00344421">
      <w:pPr>
        <w:jc w:val="both"/>
        <w:rPr>
          <w:rFonts w:asciiTheme="minorHAnsi" w:eastAsia="MinionPro-Regular" w:hAnsiTheme="minorHAnsi" w:cstheme="minorHAnsi"/>
          <w:color w:val="000000" w:themeColor="text1"/>
          <w:lang w:val="en-US"/>
        </w:rPr>
      </w:pPr>
    </w:p>
    <w:p w14:paraId="2D268F21" w14:textId="77777777" w:rsidR="00344421" w:rsidRPr="000265CF" w:rsidRDefault="00344421" w:rsidP="00344421">
      <w:pPr>
        <w:jc w:val="both"/>
        <w:rPr>
          <w:rFonts w:asciiTheme="minorHAnsi" w:eastAsia="MinionPro-Regular" w:hAnsiTheme="minorHAnsi" w:cstheme="minorHAnsi"/>
          <w:color w:val="000000" w:themeColor="text1"/>
          <w:lang w:val="en-US"/>
        </w:rPr>
      </w:pPr>
      <w:r w:rsidRPr="000265CF">
        <w:rPr>
          <w:rFonts w:asciiTheme="minorHAnsi" w:eastAsia="MinionPro-Regular" w:hAnsiTheme="minorHAnsi" w:cstheme="minorHAnsi"/>
          <w:color w:val="000000" w:themeColor="text1"/>
          <w:vertAlign w:val="superscript"/>
          <w:lang w:val="en-US"/>
        </w:rPr>
        <w:t xml:space="preserve">* </w:t>
      </w:r>
      <w:r w:rsidRPr="000265CF">
        <w:rPr>
          <w:rFonts w:asciiTheme="minorHAnsi" w:eastAsia="MinionPro-Regular" w:hAnsiTheme="minorHAnsi" w:cstheme="minorHAnsi"/>
          <w:color w:val="000000" w:themeColor="text1"/>
          <w:lang w:val="en-US"/>
        </w:rPr>
        <w:t xml:space="preserve">P≤ 0.05; </w:t>
      </w:r>
      <w:r w:rsidRPr="000265CF">
        <w:rPr>
          <w:rFonts w:asciiTheme="minorHAnsi" w:eastAsia="MinionPro-Regular" w:hAnsiTheme="minorHAnsi" w:cstheme="minorHAnsi"/>
          <w:color w:val="000000" w:themeColor="text1"/>
          <w:vertAlign w:val="superscript"/>
          <w:lang w:val="en-US"/>
        </w:rPr>
        <w:t>**</w:t>
      </w:r>
      <w:r w:rsidRPr="000265CF">
        <w:rPr>
          <w:rFonts w:asciiTheme="minorHAnsi" w:eastAsia="MinionPro-Regular" w:hAnsiTheme="minorHAnsi" w:cstheme="minorHAnsi"/>
          <w:color w:val="000000" w:themeColor="text1"/>
          <w:lang w:val="en-US"/>
        </w:rPr>
        <w:t xml:space="preserve"> </w:t>
      </w:r>
      <w:r w:rsidRPr="000265CF">
        <w:rPr>
          <w:rFonts w:asciiTheme="minorHAnsi" w:eastAsia="MinionPro-Regular" w:hAnsiTheme="minorHAnsi" w:cstheme="minorHAnsi"/>
          <w:i/>
          <w:color w:val="000000" w:themeColor="text1"/>
          <w:lang w:val="en-US"/>
        </w:rPr>
        <w:t>P</w:t>
      </w:r>
      <w:r w:rsidRPr="000265CF">
        <w:rPr>
          <w:rFonts w:asciiTheme="minorHAnsi" w:eastAsia="MinionPro-Regular" w:hAnsiTheme="minorHAnsi" w:cstheme="minorHAnsi"/>
          <w:color w:val="000000" w:themeColor="text1"/>
          <w:lang w:val="en-US"/>
        </w:rPr>
        <w:t xml:space="preserve">≤ 0.01 and </w:t>
      </w:r>
      <w:r w:rsidRPr="000265CF">
        <w:rPr>
          <w:rFonts w:asciiTheme="minorHAnsi" w:eastAsia="MinionPro-Regular" w:hAnsiTheme="minorHAnsi" w:cstheme="minorHAnsi"/>
          <w:color w:val="000000" w:themeColor="text1"/>
          <w:vertAlign w:val="superscript"/>
          <w:lang w:val="en-US"/>
        </w:rPr>
        <w:t xml:space="preserve">*** </w:t>
      </w:r>
      <w:r w:rsidRPr="000265CF">
        <w:rPr>
          <w:rFonts w:asciiTheme="minorHAnsi" w:eastAsia="MinionPro-Regular" w:hAnsiTheme="minorHAnsi" w:cstheme="minorHAnsi"/>
          <w:i/>
          <w:color w:val="000000" w:themeColor="text1"/>
          <w:lang w:val="en-US"/>
        </w:rPr>
        <w:t>P</w:t>
      </w:r>
      <w:r w:rsidRPr="000265CF">
        <w:rPr>
          <w:rFonts w:asciiTheme="minorHAnsi" w:eastAsia="MinionPro-Regular" w:hAnsiTheme="minorHAnsi" w:cstheme="minorHAnsi"/>
          <w:color w:val="000000" w:themeColor="text1"/>
          <w:lang w:val="en-US"/>
        </w:rPr>
        <w:t xml:space="preserve">≤ 0.001 between controls and girls with PCOS at baseline. </w:t>
      </w:r>
    </w:p>
    <w:p w14:paraId="3B4DC2B9" w14:textId="77777777" w:rsidR="00344421" w:rsidRPr="000265CF" w:rsidRDefault="00344421" w:rsidP="00344421">
      <w:pPr>
        <w:jc w:val="both"/>
        <w:rPr>
          <w:rFonts w:asciiTheme="minorHAnsi" w:hAnsiTheme="minorHAnsi" w:cstheme="minorHAnsi"/>
          <w:lang w:val="en-US"/>
        </w:rPr>
      </w:pPr>
      <w:r w:rsidRPr="000265CF">
        <w:rPr>
          <w:rFonts w:asciiTheme="minorHAnsi" w:hAnsiTheme="minorHAnsi" w:cstheme="minorHAnsi"/>
          <w:color w:val="1C1D1E"/>
          <w:vertAlign w:val="superscript"/>
          <w:lang w:val="en-US"/>
        </w:rPr>
        <w:t xml:space="preserve">a </w:t>
      </w:r>
      <w:r w:rsidRPr="000265CF">
        <w:rPr>
          <w:rFonts w:asciiTheme="minorHAnsi" w:hAnsiTheme="minorHAnsi" w:cstheme="minorHAnsi"/>
          <w:lang w:val="en-US"/>
        </w:rPr>
        <w:t>no significant differences between randomized subgroups at start.</w:t>
      </w:r>
    </w:p>
    <w:p w14:paraId="313415F7" w14:textId="77777777" w:rsidR="00344421" w:rsidRPr="000265CF" w:rsidRDefault="00344421" w:rsidP="00344421">
      <w:pPr>
        <w:jc w:val="both"/>
        <w:rPr>
          <w:rFonts w:asciiTheme="minorHAnsi" w:hAnsiTheme="minorHAnsi" w:cstheme="minorHAnsi"/>
          <w:lang w:val="en-US"/>
        </w:rPr>
      </w:pPr>
      <w:r w:rsidRPr="000265CF">
        <w:rPr>
          <w:rFonts w:asciiTheme="minorHAnsi" w:hAnsiTheme="minorHAnsi" w:cstheme="minorHAnsi"/>
          <w:vertAlign w:val="superscript"/>
          <w:lang w:val="en-US"/>
        </w:rPr>
        <w:t>b</w:t>
      </w:r>
      <w:r w:rsidRPr="000265CF">
        <w:rPr>
          <w:rFonts w:asciiTheme="minorHAnsi" w:hAnsiTheme="minorHAnsi" w:cstheme="minorHAnsi"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0.05, </w:t>
      </w:r>
      <w:r w:rsidRPr="000265CF">
        <w:rPr>
          <w:rFonts w:asciiTheme="minorHAnsi" w:hAnsiTheme="minorHAnsi" w:cstheme="minorHAnsi"/>
          <w:vertAlign w:val="superscript"/>
          <w:lang w:val="en-US"/>
        </w:rPr>
        <w:t xml:space="preserve">c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0.01 and </w:t>
      </w:r>
      <w:r w:rsidRPr="000265CF">
        <w:rPr>
          <w:rFonts w:asciiTheme="minorHAnsi" w:hAnsiTheme="minorHAnsi" w:cstheme="minorHAnsi"/>
          <w:vertAlign w:val="superscript"/>
          <w:lang w:val="en-US"/>
        </w:rPr>
        <w:t>d</w:t>
      </w:r>
      <w:r w:rsidRPr="000265CF">
        <w:rPr>
          <w:rFonts w:asciiTheme="minorHAnsi" w:hAnsiTheme="minorHAnsi" w:cstheme="minorHAnsi"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0.001 for differences between subgroups at 1 year. </w:t>
      </w:r>
    </w:p>
    <w:p w14:paraId="363B67A4" w14:textId="77777777" w:rsidR="00344421" w:rsidRPr="000265CF" w:rsidRDefault="00344421" w:rsidP="00344421">
      <w:pPr>
        <w:jc w:val="both"/>
        <w:rPr>
          <w:rFonts w:asciiTheme="minorHAnsi" w:hAnsiTheme="minorHAnsi" w:cstheme="minorHAnsi"/>
          <w:iCs/>
          <w:lang w:val="en-US"/>
        </w:rPr>
      </w:pPr>
      <w:r w:rsidRPr="000265CF">
        <w:rPr>
          <w:rFonts w:asciiTheme="minorHAnsi" w:hAnsiTheme="minorHAnsi" w:cstheme="minorHAnsi"/>
          <w:vertAlign w:val="superscript"/>
          <w:lang w:val="en-US"/>
        </w:rPr>
        <w:t>e</w:t>
      </w:r>
      <w:r w:rsidRPr="000265CF">
        <w:rPr>
          <w:rFonts w:asciiTheme="minorHAnsi" w:hAnsiTheme="minorHAnsi" w:cstheme="minorHAnsi"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0.05, </w:t>
      </w:r>
      <w:r w:rsidRPr="000265CF">
        <w:rPr>
          <w:rFonts w:asciiTheme="minorHAnsi" w:hAnsiTheme="minorHAnsi" w:cstheme="minorHAnsi"/>
          <w:color w:val="1C1D1E"/>
          <w:vertAlign w:val="superscript"/>
          <w:lang w:val="en-US"/>
        </w:rPr>
        <w:t>f</w:t>
      </w:r>
      <w:r w:rsidRPr="000265CF">
        <w:rPr>
          <w:rFonts w:asciiTheme="minorHAnsi" w:hAnsiTheme="minorHAnsi" w:cstheme="minorHAnsi"/>
          <w:color w:val="1C1D1E"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0.01 and </w:t>
      </w:r>
      <w:r w:rsidRPr="000265CF">
        <w:rPr>
          <w:rFonts w:asciiTheme="minorHAnsi" w:hAnsiTheme="minorHAnsi" w:cstheme="minorHAnsi"/>
          <w:vertAlign w:val="superscript"/>
          <w:lang w:val="en-US"/>
        </w:rPr>
        <w:t>g</w:t>
      </w:r>
      <w:r w:rsidRPr="000265CF">
        <w:rPr>
          <w:rFonts w:asciiTheme="minorHAnsi" w:hAnsiTheme="minorHAnsi" w:cstheme="minorHAnsi"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0.001 for differences between subgroup changes (</w:t>
      </w:r>
      <w:r w:rsidRPr="000265CF">
        <w:rPr>
          <w:rFonts w:asciiTheme="minorHAnsi" w:hAnsiTheme="minorHAnsi" w:cstheme="minorHAnsi"/>
          <w:iCs/>
        </w:rPr>
        <w:t>Δ</w:t>
      </w:r>
      <w:r w:rsidRPr="000265CF">
        <w:rPr>
          <w:rFonts w:asciiTheme="minorHAnsi" w:hAnsiTheme="minorHAnsi" w:cstheme="minorHAnsi"/>
          <w:iCs/>
          <w:lang w:val="en-US"/>
        </w:rPr>
        <w:t>) 0-1 year.</w:t>
      </w:r>
    </w:p>
    <w:p w14:paraId="2003E049" w14:textId="77777777" w:rsidR="00344421" w:rsidRPr="000265CF" w:rsidRDefault="00344421" w:rsidP="00344421">
      <w:pPr>
        <w:jc w:val="both"/>
        <w:rPr>
          <w:rFonts w:asciiTheme="minorHAnsi" w:hAnsiTheme="minorHAnsi" w:cstheme="minorHAnsi"/>
          <w:iCs/>
          <w:lang w:val="en-US"/>
        </w:rPr>
      </w:pPr>
      <w:r w:rsidRPr="000265CF">
        <w:rPr>
          <w:rFonts w:asciiTheme="minorHAnsi" w:hAnsiTheme="minorHAnsi" w:cstheme="minorHAnsi"/>
          <w:color w:val="1C1D1E"/>
          <w:vertAlign w:val="superscript"/>
          <w:lang w:val="en-US"/>
        </w:rPr>
        <w:t xml:space="preserve">h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0.05, </w:t>
      </w:r>
      <w:r w:rsidRPr="000265CF">
        <w:rPr>
          <w:rFonts w:asciiTheme="minorHAnsi" w:hAnsiTheme="minorHAnsi" w:cstheme="minorHAnsi"/>
          <w:vertAlign w:val="superscript"/>
          <w:lang w:val="en-US"/>
        </w:rPr>
        <w:t>i</w:t>
      </w:r>
      <w:r w:rsidRPr="000265CF">
        <w:rPr>
          <w:rFonts w:asciiTheme="minorHAnsi" w:hAnsiTheme="minorHAnsi" w:cstheme="minorHAnsi"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0.01 and </w:t>
      </w:r>
      <w:r w:rsidRPr="000265CF">
        <w:rPr>
          <w:rFonts w:asciiTheme="minorHAnsi" w:hAnsiTheme="minorHAnsi" w:cstheme="minorHAnsi"/>
          <w:vertAlign w:val="superscript"/>
          <w:lang w:val="en-US"/>
        </w:rPr>
        <w:t>j</w:t>
      </w:r>
      <w:r w:rsidRPr="000265CF">
        <w:rPr>
          <w:rFonts w:asciiTheme="minorHAnsi" w:hAnsiTheme="minorHAnsi" w:cstheme="minorHAnsi"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lang w:val="en-US"/>
        </w:rPr>
        <w:t>P</w:t>
      </w:r>
      <w:r w:rsidRPr="000265CF">
        <w:rPr>
          <w:rFonts w:asciiTheme="minorHAnsi" w:hAnsiTheme="minorHAnsi" w:cstheme="minorHAnsi"/>
          <w:lang w:val="en-US"/>
        </w:rPr>
        <w:t xml:space="preserve"> ≤ 0.001 for differences within-subgroup changes </w:t>
      </w:r>
      <w:r w:rsidRPr="000265CF">
        <w:rPr>
          <w:rFonts w:asciiTheme="minorHAnsi" w:hAnsiTheme="minorHAnsi" w:cstheme="minorHAnsi"/>
          <w:iCs/>
          <w:lang w:val="en-US"/>
        </w:rPr>
        <w:t>from start.</w:t>
      </w:r>
    </w:p>
    <w:p w14:paraId="4FC024F7" w14:textId="77777777" w:rsidR="00344421" w:rsidRPr="000265CF" w:rsidRDefault="00344421" w:rsidP="00344421">
      <w:pPr>
        <w:autoSpaceDE w:val="0"/>
        <w:autoSpaceDN w:val="0"/>
        <w:adjustRightInd w:val="0"/>
        <w:rPr>
          <w:rFonts w:asciiTheme="minorHAnsi" w:hAnsiTheme="minorHAnsi" w:cstheme="minorHAnsi"/>
          <w:iCs/>
          <w:lang w:val="en-US"/>
        </w:rPr>
      </w:pPr>
      <w:r w:rsidRPr="000265CF">
        <w:rPr>
          <w:rFonts w:asciiTheme="minorHAnsi" w:hAnsiTheme="minorHAnsi" w:cstheme="minorHAnsi"/>
          <w:iCs/>
          <w:vertAlign w:val="superscript"/>
          <w:lang w:val="en-US"/>
        </w:rPr>
        <w:t>#</w:t>
      </w:r>
      <w:r w:rsidRPr="000265CF">
        <w:rPr>
          <w:rFonts w:asciiTheme="minorHAnsi" w:hAnsiTheme="minorHAnsi" w:cstheme="minorHAnsi"/>
          <w:iCs/>
          <w:lang w:val="en-US"/>
        </w:rPr>
        <w:t xml:space="preserve"> </w:t>
      </w:r>
      <w:r w:rsidRPr="000265CF">
        <w:rPr>
          <w:rFonts w:asciiTheme="minorHAnsi" w:hAnsiTheme="minorHAnsi" w:cstheme="minorHAnsi"/>
          <w:i/>
          <w:iCs/>
          <w:lang w:val="en-US"/>
        </w:rPr>
        <w:t>P</w:t>
      </w:r>
      <w:r w:rsidRPr="000265CF">
        <w:rPr>
          <w:rFonts w:asciiTheme="minorHAnsi" w:hAnsiTheme="minorHAnsi" w:cstheme="minorHAnsi"/>
          <w:iCs/>
          <w:lang w:val="en-US"/>
        </w:rPr>
        <w:t>&lt; 0.0001 between subgropups differences in ovulatory function.</w:t>
      </w:r>
    </w:p>
    <w:p w14:paraId="1956E668" w14:textId="77777777" w:rsidR="00344421" w:rsidRPr="000265CF" w:rsidRDefault="00344421" w:rsidP="00344421">
      <w:pPr>
        <w:autoSpaceDE w:val="0"/>
        <w:autoSpaceDN w:val="0"/>
        <w:adjustRightInd w:val="0"/>
        <w:rPr>
          <w:rFonts w:asciiTheme="minorHAnsi" w:hAnsiTheme="minorHAnsi" w:cstheme="minorHAnsi"/>
          <w:iCs/>
          <w:lang w:val="en-US"/>
        </w:rPr>
      </w:pPr>
    </w:p>
    <w:p w14:paraId="35D1F2FB" w14:textId="77777777" w:rsidR="00344421" w:rsidRPr="000265CF" w:rsidRDefault="00344421" w:rsidP="00344421">
      <w:pPr>
        <w:autoSpaceDE w:val="0"/>
        <w:autoSpaceDN w:val="0"/>
        <w:adjustRightInd w:val="0"/>
        <w:rPr>
          <w:rFonts w:asciiTheme="minorHAnsi" w:hAnsiTheme="minorHAnsi" w:cstheme="minorHAnsi"/>
          <w:iCs/>
          <w:lang w:val="en-US"/>
        </w:rPr>
      </w:pPr>
      <w:r w:rsidRPr="000265CF">
        <w:rPr>
          <w:rFonts w:asciiTheme="minorHAnsi" w:hAnsiTheme="minorHAnsi" w:cstheme="minorHAnsi"/>
          <w:i/>
          <w:iCs/>
          <w:lang w:val="en-US"/>
        </w:rPr>
        <w:t xml:space="preserve">P </w:t>
      </w:r>
      <w:r w:rsidRPr="000265CF">
        <w:rPr>
          <w:rFonts w:asciiTheme="minorHAnsi" w:hAnsiTheme="minorHAnsi" w:cstheme="minorHAnsi"/>
          <w:iCs/>
          <w:lang w:val="en-US"/>
        </w:rPr>
        <w:t xml:space="preserve">values for differences between controls and girls with PCOS at baseline and between subgroups are adjusted for BMI. </w:t>
      </w:r>
    </w:p>
    <w:p w14:paraId="526360CC" w14:textId="77777777" w:rsidR="00344421" w:rsidRPr="000265CF" w:rsidRDefault="00344421" w:rsidP="00344421">
      <w:pPr>
        <w:tabs>
          <w:tab w:val="left" w:pos="6600"/>
        </w:tabs>
        <w:autoSpaceDE w:val="0"/>
        <w:autoSpaceDN w:val="0"/>
        <w:adjustRightInd w:val="0"/>
        <w:rPr>
          <w:rFonts w:asciiTheme="minorHAnsi" w:hAnsiTheme="minorHAnsi" w:cstheme="minorHAnsi"/>
          <w:iCs/>
          <w:lang w:val="en-US"/>
        </w:rPr>
      </w:pPr>
      <w:r w:rsidRPr="000265CF">
        <w:rPr>
          <w:rFonts w:asciiTheme="minorHAnsi" w:hAnsiTheme="minorHAnsi" w:cstheme="minorHAnsi"/>
          <w:iCs/>
          <w:lang w:val="en-US"/>
        </w:rPr>
        <w:tab/>
      </w:r>
    </w:p>
    <w:p w14:paraId="4985553D" w14:textId="77777777" w:rsidR="00344421" w:rsidRPr="000265CF" w:rsidRDefault="00344421" w:rsidP="00344421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54463A2" w14:textId="77777777" w:rsidR="003C766A" w:rsidRPr="000265CF" w:rsidRDefault="003C766A">
      <w:pPr>
        <w:rPr>
          <w:rFonts w:asciiTheme="minorHAnsi" w:hAnsiTheme="minorHAnsi" w:cstheme="minorHAnsi"/>
          <w:lang w:val="en-US"/>
        </w:rPr>
      </w:pPr>
    </w:p>
    <w:sectPr w:rsidR="003C766A" w:rsidRPr="000265CF" w:rsidSect="00884DBB">
      <w:pgSz w:w="16840" w:h="13041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21"/>
    <w:rsid w:val="000265CF"/>
    <w:rsid w:val="002849B3"/>
    <w:rsid w:val="00344421"/>
    <w:rsid w:val="003C766A"/>
    <w:rsid w:val="007809B7"/>
    <w:rsid w:val="009C6A7E"/>
    <w:rsid w:val="00A23546"/>
    <w:rsid w:val="00A54517"/>
    <w:rsid w:val="00A87CB2"/>
    <w:rsid w:val="00A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186D"/>
  <w15:chartTrackingRefBased/>
  <w15:docId w15:val="{E012A7FC-7DBD-498B-9BB2-E24FC5C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2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42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65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5CF"/>
    <w:rPr>
      <w:rFonts w:ascii="Segoe UI" w:eastAsia="Times New Roman" w:hAnsi="Segoe UI" w:cs="Segoe UI"/>
      <w:noProof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Garcia Beltram</cp:lastModifiedBy>
  <cp:revision>8</cp:revision>
  <dcterms:created xsi:type="dcterms:W3CDTF">2020-05-18T14:23:00Z</dcterms:created>
  <dcterms:modified xsi:type="dcterms:W3CDTF">2020-06-18T09:23:00Z</dcterms:modified>
</cp:coreProperties>
</file>