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3DB191" w14:textId="76F7D68F" w:rsidR="00741ACF" w:rsidRDefault="00741ACF">
      <w:pPr>
        <w:rPr>
          <w:rFonts w:ascii="Arial" w:hAnsi="Arial" w:cs="Arial"/>
        </w:rPr>
      </w:pPr>
    </w:p>
    <w:p w14:paraId="1CEF318D" w14:textId="77777777" w:rsidR="00415D0B" w:rsidRDefault="00415D0B">
      <w:pPr>
        <w:rPr>
          <w:rFonts w:ascii="Arial" w:hAnsi="Arial" w:cs="Arial"/>
        </w:rPr>
      </w:pPr>
    </w:p>
    <w:p w14:paraId="5470AD88" w14:textId="77777777" w:rsidR="00703C22" w:rsidRDefault="001954D7" w:rsidP="00703C22">
      <w:pPr>
        <w:rPr>
          <w:rFonts w:ascii="Arial" w:eastAsiaTheme="minorEastAsia" w:hAnsi="Arial" w:cs="Arial"/>
          <w:b/>
          <w:bCs/>
          <w:color w:val="000000"/>
          <w:sz w:val="22"/>
          <w:szCs w:val="22"/>
        </w:rPr>
      </w:pPr>
      <w:r>
        <w:rPr>
          <w:rFonts w:ascii="Arial" w:eastAsiaTheme="minorEastAsia" w:hAnsi="Arial" w:cs="Arial"/>
          <w:b/>
          <w:bCs/>
          <w:color w:val="000000"/>
          <w:sz w:val="22"/>
          <w:szCs w:val="22"/>
        </w:rPr>
        <w:t xml:space="preserve">Additional </w:t>
      </w:r>
      <w:r w:rsidR="00374301">
        <w:rPr>
          <w:rFonts w:ascii="Arial" w:eastAsiaTheme="minorEastAsia" w:hAnsi="Arial" w:cs="Arial"/>
          <w:b/>
          <w:bCs/>
          <w:color w:val="000000"/>
          <w:sz w:val="22"/>
          <w:szCs w:val="22"/>
        </w:rPr>
        <w:t xml:space="preserve">Data </w:t>
      </w:r>
      <w:r>
        <w:rPr>
          <w:rFonts w:ascii="Arial" w:eastAsiaTheme="minorEastAsia" w:hAnsi="Arial" w:cs="Arial"/>
          <w:b/>
          <w:bCs/>
          <w:color w:val="000000"/>
          <w:sz w:val="22"/>
          <w:szCs w:val="22"/>
        </w:rPr>
        <w:t>file</w:t>
      </w:r>
    </w:p>
    <w:p w14:paraId="21DC1C53" w14:textId="46B2CD09" w:rsidR="00703C22" w:rsidRDefault="001954D7" w:rsidP="00703C22">
      <w:pPr>
        <w:rPr>
          <w:rFonts w:ascii="-webkit-standard" w:eastAsia="Times New Roman" w:hAnsi="-webkit-standard" w:cs="Times New Roman"/>
          <w:color w:val="000000"/>
          <w:sz w:val="27"/>
          <w:szCs w:val="27"/>
        </w:rPr>
      </w:pPr>
      <w:r>
        <w:rPr>
          <w:rFonts w:ascii="Arial" w:eastAsiaTheme="minorEastAsia" w:hAnsi="Arial" w:cs="Arial"/>
          <w:b/>
          <w:bCs/>
          <w:color w:val="000000"/>
          <w:sz w:val="22"/>
          <w:szCs w:val="22"/>
        </w:rPr>
        <w:t xml:space="preserve"> </w:t>
      </w:r>
      <w:r w:rsidR="00703C22">
        <w:rPr>
          <w:rFonts w:ascii="-webkit-standard" w:eastAsia="Times New Roman" w:hAnsi="-webkit-standard" w:cs="Times New Roman"/>
          <w:color w:val="000000"/>
          <w:sz w:val="27"/>
          <w:szCs w:val="27"/>
        </w:rPr>
        <w:t>f</w:t>
      </w:r>
      <w:r w:rsidR="0087139F">
        <w:rPr>
          <w:rFonts w:ascii="-webkit-standard" w:eastAsia="Times New Roman" w:hAnsi="-webkit-standard" w:cs="Times New Roman"/>
          <w:color w:val="000000"/>
          <w:sz w:val="27"/>
          <w:szCs w:val="27"/>
        </w:rPr>
        <w:t>rom</w:t>
      </w:r>
      <w:r w:rsidR="00703C22">
        <w:rPr>
          <w:rFonts w:ascii="-webkit-standard" w:eastAsia="Times New Roman" w:hAnsi="-webkit-standard" w:cs="Times New Roman"/>
          <w:color w:val="000000"/>
          <w:sz w:val="27"/>
          <w:szCs w:val="27"/>
        </w:rPr>
        <w:t xml:space="preserve"> manuscript s</w:t>
      </w:r>
      <w:r w:rsidR="00703C22">
        <w:rPr>
          <w:rFonts w:ascii="-webkit-standard" w:eastAsia="Times New Roman" w:hAnsi="-webkit-standard" w:cs="Times New Roman"/>
          <w:color w:val="000000"/>
          <w:sz w:val="27"/>
          <w:szCs w:val="27"/>
        </w:rPr>
        <w:t>ubmitted for review to Endocrinology</w:t>
      </w:r>
      <w:r w:rsidR="00703C22">
        <w:rPr>
          <w:rFonts w:ascii="-webkit-standard" w:eastAsia="Times New Roman" w:hAnsi="-webkit-standard" w:cs="Times New Roman"/>
          <w:color w:val="000000"/>
          <w:sz w:val="27"/>
          <w:szCs w:val="27"/>
        </w:rPr>
        <w:t xml:space="preserve"> on </w:t>
      </w:r>
      <w:r w:rsidR="00703C22">
        <w:rPr>
          <w:rFonts w:ascii="-webkit-standard" w:eastAsia="Times New Roman" w:hAnsi="-webkit-standard" w:cs="Times New Roman"/>
          <w:color w:val="000000"/>
          <w:sz w:val="27"/>
          <w:szCs w:val="27"/>
        </w:rPr>
        <w:t> 23 October 2020</w:t>
      </w:r>
    </w:p>
    <w:p w14:paraId="0C226BC6" w14:textId="12AE6058" w:rsidR="00703C22" w:rsidRPr="00703C22" w:rsidRDefault="00703C22" w:rsidP="00703C22">
      <w:pPr>
        <w:rPr>
          <w:rFonts w:ascii="Times New Roman" w:eastAsia="Times New Roman" w:hAnsi="Times New Roman" w:cs="Times New Roman"/>
        </w:rPr>
      </w:pPr>
      <w:r w:rsidRPr="00703C22">
        <w:rPr>
          <w:rFonts w:ascii="-webkit-standard" w:eastAsia="Times New Roman" w:hAnsi="-webkit-standard" w:cs="Times New Roman"/>
          <w:color w:val="000000"/>
        </w:rPr>
        <w:t xml:space="preserve">manuscript </w:t>
      </w:r>
      <w:r w:rsidRPr="00703C22">
        <w:rPr>
          <w:rFonts w:ascii="Times New Roman" w:hAnsi="Times New Roman" w:cs="Times New Roman"/>
          <w:b/>
          <w:color w:val="000000" w:themeColor="text1"/>
        </w:rPr>
        <w:t xml:space="preserve">#: </w:t>
      </w:r>
      <w:r w:rsidRPr="00703C22">
        <w:rPr>
          <w:rFonts w:ascii="-webkit-standard" w:eastAsia="Times New Roman" w:hAnsi="-webkit-standard" w:cs="Times New Roman"/>
          <w:color w:val="000000"/>
        </w:rPr>
        <w:t>en.2020-00859</w:t>
      </w:r>
    </w:p>
    <w:p w14:paraId="05B5F090" w14:textId="1F8D53FD" w:rsidR="00703C22" w:rsidRDefault="00703C22" w:rsidP="0087139F">
      <w:pPr>
        <w:widowControl w:val="0"/>
        <w:autoSpaceDE w:val="0"/>
        <w:autoSpaceDN w:val="0"/>
        <w:adjustRightInd w:val="0"/>
        <w:spacing w:after="240"/>
        <w:contextualSpacing/>
        <w:rPr>
          <w:rFonts w:ascii="Times New Roman" w:hAnsi="Times New Roman" w:cs="Times New Roman"/>
          <w:b/>
          <w:color w:val="000000" w:themeColor="text1"/>
          <w:sz w:val="36"/>
          <w:szCs w:val="36"/>
        </w:rPr>
      </w:pPr>
    </w:p>
    <w:p w14:paraId="44A10D69" w14:textId="0D3D5A18" w:rsidR="0087139F" w:rsidRPr="00703C22" w:rsidRDefault="0087139F" w:rsidP="0087139F">
      <w:pPr>
        <w:widowControl w:val="0"/>
        <w:autoSpaceDE w:val="0"/>
        <w:autoSpaceDN w:val="0"/>
        <w:adjustRightInd w:val="0"/>
        <w:spacing w:after="240"/>
        <w:contextualSpacing/>
        <w:rPr>
          <w:rFonts w:ascii="Times New Roman" w:hAnsi="Times New Roman" w:cs="Times New Roman"/>
          <w:b/>
          <w:color w:val="000000" w:themeColor="text1"/>
          <w:sz w:val="28"/>
          <w:szCs w:val="28"/>
        </w:rPr>
      </w:pPr>
      <w:r w:rsidRPr="00703C22">
        <w:rPr>
          <w:rFonts w:ascii="Times New Roman" w:hAnsi="Times New Roman" w:cs="Times New Roman"/>
          <w:b/>
          <w:color w:val="000000" w:themeColor="text1"/>
          <w:sz w:val="28"/>
          <w:szCs w:val="28"/>
        </w:rPr>
        <w:t>Ligand-Dependent Effects of Methionine-8 Oxidation in Parathyroid Hormone Peptide Analogs</w:t>
      </w:r>
    </w:p>
    <w:p w14:paraId="29BCA209" w14:textId="77777777" w:rsidR="0087139F" w:rsidRPr="00703C22" w:rsidRDefault="0087139F" w:rsidP="0087139F">
      <w:pPr>
        <w:rPr>
          <w:rFonts w:ascii="-webkit-standard" w:eastAsia="Times New Roman" w:hAnsi="-webkit-standard" w:cs="Times New Roman"/>
          <w:color w:val="000000"/>
          <w:sz w:val="28"/>
          <w:szCs w:val="28"/>
        </w:rPr>
      </w:pPr>
    </w:p>
    <w:p w14:paraId="0614E007" w14:textId="69E32A82" w:rsidR="0087139F" w:rsidRDefault="0087139F" w:rsidP="0087139F">
      <w:pPr>
        <w:rPr>
          <w:rFonts w:ascii="-webkit-standard" w:eastAsia="Times New Roman" w:hAnsi="-webkit-standard" w:cs="Times New Roman"/>
          <w:color w:val="000000"/>
          <w:sz w:val="27"/>
          <w:szCs w:val="27"/>
        </w:rPr>
      </w:pPr>
      <w:r w:rsidRPr="00322F49">
        <w:rPr>
          <w:rFonts w:ascii="Times New Roman" w:hAnsi="Times New Roman" w:cs="Times New Roman"/>
          <w:b/>
        </w:rPr>
        <w:t>Eileen J</w:t>
      </w:r>
      <w:r>
        <w:rPr>
          <w:rFonts w:ascii="Times New Roman" w:hAnsi="Times New Roman" w:cs="Times New Roman"/>
          <w:b/>
        </w:rPr>
        <w:t xml:space="preserve">. </w:t>
      </w:r>
      <w:r w:rsidRPr="00322F49">
        <w:rPr>
          <w:rFonts w:ascii="Times New Roman" w:hAnsi="Times New Roman" w:cs="Times New Roman"/>
          <w:b/>
        </w:rPr>
        <w:t>Daley</w:t>
      </w:r>
      <w:r w:rsidRPr="00322F49">
        <w:rPr>
          <w:rFonts w:ascii="Times New Roman" w:hAnsi="Times New Roman" w:cs="Times New Roman"/>
          <w:b/>
          <w:vertAlign w:val="superscript"/>
        </w:rPr>
        <w:t>1</w:t>
      </w:r>
      <w:r w:rsidRPr="00322F49">
        <w:rPr>
          <w:rFonts w:ascii="Times New Roman" w:hAnsi="Times New Roman" w:cs="Times New Roman"/>
          <w:b/>
        </w:rPr>
        <w:t>, Ashok Khatri</w:t>
      </w:r>
      <w:r w:rsidRPr="00322F49">
        <w:rPr>
          <w:rFonts w:ascii="Times New Roman" w:hAnsi="Times New Roman" w:cs="Times New Roman"/>
          <w:b/>
          <w:vertAlign w:val="superscript"/>
        </w:rPr>
        <w:t>1</w:t>
      </w:r>
      <w:r w:rsidRPr="00322F49">
        <w:rPr>
          <w:rFonts w:ascii="Times New Roman" w:hAnsi="Times New Roman" w:cs="Times New Roman"/>
          <w:b/>
        </w:rPr>
        <w:t>, Thomas Dean</w:t>
      </w:r>
      <w:r w:rsidRPr="00322F49">
        <w:rPr>
          <w:rFonts w:ascii="Times New Roman" w:hAnsi="Times New Roman" w:cs="Times New Roman"/>
          <w:b/>
          <w:vertAlign w:val="superscript"/>
        </w:rPr>
        <w:t>1</w:t>
      </w:r>
      <w:r w:rsidRPr="00322F49">
        <w:rPr>
          <w:rFonts w:ascii="Times New Roman" w:hAnsi="Times New Roman" w:cs="Times New Roman"/>
          <w:b/>
        </w:rPr>
        <w:t xml:space="preserve">, </w:t>
      </w:r>
      <w:r w:rsidRPr="00322F49">
        <w:rPr>
          <w:rFonts w:ascii="Times New Roman" w:hAnsi="Times New Roman" w:cs="Times New Roman"/>
          <w:b/>
          <w:bCs/>
        </w:rPr>
        <w:t>Jean-Pierre Vilardaga</w:t>
      </w:r>
      <w:r w:rsidRPr="00322F49">
        <w:rPr>
          <w:rFonts w:ascii="Times New Roman" w:hAnsi="Times New Roman" w:cs="Times New Roman"/>
          <w:b/>
          <w:bCs/>
          <w:vertAlign w:val="superscript"/>
        </w:rPr>
        <w:t>2</w:t>
      </w:r>
      <w:r w:rsidRPr="00322F49">
        <w:rPr>
          <w:rFonts w:ascii="Times New Roman" w:hAnsi="Times New Roman" w:cs="Times New Roman"/>
          <w:b/>
        </w:rPr>
        <w:t xml:space="preserve">, </w:t>
      </w:r>
      <w:proofErr w:type="spellStart"/>
      <w:r w:rsidRPr="00322F49">
        <w:rPr>
          <w:rFonts w:ascii="Times New Roman" w:hAnsi="Times New Roman" w:cs="Times New Roman"/>
          <w:b/>
        </w:rPr>
        <w:t>Saheem</w:t>
      </w:r>
      <w:proofErr w:type="spellEnd"/>
      <w:r w:rsidRPr="00322F49">
        <w:rPr>
          <w:rFonts w:ascii="Times New Roman" w:hAnsi="Times New Roman" w:cs="Times New Roman"/>
          <w:b/>
        </w:rPr>
        <w:t xml:space="preserve"> </w:t>
      </w:r>
      <w:r>
        <w:rPr>
          <w:rFonts w:ascii="Times New Roman" w:hAnsi="Times New Roman" w:cs="Times New Roman"/>
          <w:b/>
        </w:rPr>
        <w:t xml:space="preserve">A. </w:t>
      </w:r>
      <w:r w:rsidRPr="00322F49">
        <w:rPr>
          <w:rFonts w:ascii="Times New Roman" w:hAnsi="Times New Roman" w:cs="Times New Roman"/>
          <w:b/>
        </w:rPr>
        <w:t>Zaidi</w:t>
      </w:r>
      <w:r w:rsidRPr="00322F49">
        <w:rPr>
          <w:rFonts w:ascii="Times New Roman" w:hAnsi="Times New Roman" w:cs="Times New Roman"/>
          <w:b/>
          <w:vertAlign w:val="superscript"/>
        </w:rPr>
        <w:t>3</w:t>
      </w:r>
      <w:r w:rsidRPr="00322F49">
        <w:rPr>
          <w:rFonts w:ascii="Times New Roman" w:hAnsi="Times New Roman" w:cs="Times New Roman"/>
          <w:b/>
        </w:rPr>
        <w:t xml:space="preserve"> </w:t>
      </w:r>
      <w:proofErr w:type="spellStart"/>
      <w:r w:rsidRPr="00322F49">
        <w:rPr>
          <w:rFonts w:ascii="Times New Roman" w:hAnsi="Times New Roman" w:cs="Times New Roman"/>
          <w:b/>
        </w:rPr>
        <w:t>Vsevolod</w:t>
      </w:r>
      <w:proofErr w:type="spellEnd"/>
      <w:r w:rsidRPr="00322F49">
        <w:rPr>
          <w:rFonts w:ascii="Times New Roman" w:hAnsi="Times New Roman" w:cs="Times New Roman"/>
          <w:b/>
        </w:rPr>
        <w:t xml:space="preserve"> Katri</w:t>
      </w:r>
      <w:r>
        <w:rPr>
          <w:rFonts w:ascii="Times New Roman" w:hAnsi="Times New Roman" w:cs="Times New Roman"/>
          <w:b/>
        </w:rPr>
        <w:t>t</w:t>
      </w:r>
      <w:r w:rsidRPr="00322F49">
        <w:rPr>
          <w:rFonts w:ascii="Times New Roman" w:hAnsi="Times New Roman" w:cs="Times New Roman"/>
          <w:b/>
        </w:rPr>
        <w:t>ch</w:t>
      </w:r>
      <w:r w:rsidRPr="00322F49">
        <w:rPr>
          <w:rFonts w:ascii="Times New Roman" w:hAnsi="Times New Roman" w:cs="Times New Roman"/>
          <w:b/>
          <w:vertAlign w:val="superscript"/>
        </w:rPr>
        <w:t>3</w:t>
      </w:r>
      <w:r w:rsidRPr="00322F49">
        <w:rPr>
          <w:rFonts w:ascii="Times New Roman" w:hAnsi="Times New Roman" w:cs="Times New Roman"/>
          <w:b/>
        </w:rPr>
        <w:t xml:space="preserve"> and Thomas J</w:t>
      </w:r>
      <w:r>
        <w:rPr>
          <w:rFonts w:ascii="Times New Roman" w:hAnsi="Times New Roman" w:cs="Times New Roman"/>
          <w:b/>
        </w:rPr>
        <w:t xml:space="preserve">. </w:t>
      </w:r>
      <w:r w:rsidRPr="00322F49">
        <w:rPr>
          <w:rFonts w:ascii="Times New Roman" w:hAnsi="Times New Roman" w:cs="Times New Roman"/>
          <w:b/>
        </w:rPr>
        <w:t>Gardella*</w:t>
      </w:r>
    </w:p>
    <w:p w14:paraId="37F50D23" w14:textId="77777777" w:rsidR="00CC5D0C" w:rsidRDefault="00CC5D0C" w:rsidP="00CC5D0C">
      <w:pPr>
        <w:widowControl w:val="0"/>
        <w:autoSpaceDE w:val="0"/>
        <w:autoSpaceDN w:val="0"/>
        <w:adjustRightInd w:val="0"/>
        <w:spacing w:after="240"/>
        <w:contextualSpacing/>
        <w:rPr>
          <w:rFonts w:ascii="Times New Roman" w:hAnsi="Times New Roman" w:cs="Times New Roman"/>
        </w:rPr>
      </w:pPr>
    </w:p>
    <w:p w14:paraId="5AE5B854" w14:textId="7B60499D" w:rsidR="00CC5D0C" w:rsidRPr="00322F49" w:rsidRDefault="00CC5D0C" w:rsidP="00CC5D0C">
      <w:pPr>
        <w:widowControl w:val="0"/>
        <w:autoSpaceDE w:val="0"/>
        <w:autoSpaceDN w:val="0"/>
        <w:adjustRightInd w:val="0"/>
        <w:spacing w:after="240"/>
        <w:contextualSpacing/>
        <w:rPr>
          <w:rFonts w:ascii="Times New Roman" w:hAnsi="Times New Roman" w:cs="Times New Roman"/>
        </w:rPr>
      </w:pPr>
      <w:r w:rsidRPr="00322F49">
        <w:rPr>
          <w:rFonts w:ascii="Times New Roman" w:hAnsi="Times New Roman" w:cs="Times New Roman"/>
        </w:rPr>
        <w:t>Corresponding Author:</w:t>
      </w:r>
    </w:p>
    <w:p w14:paraId="39DD4DFA" w14:textId="77777777" w:rsidR="00CC5D0C" w:rsidRPr="00322F49" w:rsidRDefault="00CC5D0C" w:rsidP="00CC5D0C">
      <w:pPr>
        <w:widowControl w:val="0"/>
        <w:autoSpaceDE w:val="0"/>
        <w:autoSpaceDN w:val="0"/>
        <w:adjustRightInd w:val="0"/>
        <w:spacing w:after="240"/>
        <w:contextualSpacing/>
        <w:rPr>
          <w:rFonts w:ascii="Times New Roman" w:hAnsi="Times New Roman" w:cs="Times New Roman"/>
        </w:rPr>
      </w:pPr>
      <w:r w:rsidRPr="00322F49">
        <w:rPr>
          <w:rFonts w:ascii="Times New Roman" w:hAnsi="Times New Roman" w:cs="Times New Roman"/>
        </w:rPr>
        <w:t>Thomas J</w:t>
      </w:r>
      <w:r>
        <w:rPr>
          <w:rFonts w:ascii="Times New Roman" w:hAnsi="Times New Roman" w:cs="Times New Roman"/>
        </w:rPr>
        <w:t xml:space="preserve">. </w:t>
      </w:r>
      <w:r w:rsidRPr="00322F49">
        <w:rPr>
          <w:rFonts w:ascii="Times New Roman" w:hAnsi="Times New Roman" w:cs="Times New Roman"/>
        </w:rPr>
        <w:t>Gardella</w:t>
      </w:r>
    </w:p>
    <w:p w14:paraId="7A053307" w14:textId="77777777" w:rsidR="00CC5D0C" w:rsidRPr="00322F49" w:rsidRDefault="00CC5D0C" w:rsidP="00CC5D0C">
      <w:pPr>
        <w:widowControl w:val="0"/>
        <w:autoSpaceDE w:val="0"/>
        <w:autoSpaceDN w:val="0"/>
        <w:adjustRightInd w:val="0"/>
        <w:spacing w:after="240"/>
        <w:contextualSpacing/>
        <w:rPr>
          <w:rFonts w:ascii="Times New Roman" w:hAnsi="Times New Roman" w:cs="Times New Roman"/>
        </w:rPr>
      </w:pPr>
      <w:r w:rsidRPr="00322F49">
        <w:rPr>
          <w:rFonts w:ascii="Times New Roman" w:hAnsi="Times New Roman" w:cs="Times New Roman"/>
        </w:rPr>
        <w:t>Endocrine Unit</w:t>
      </w:r>
    </w:p>
    <w:p w14:paraId="34839120" w14:textId="77777777" w:rsidR="00CC5D0C" w:rsidRPr="00322F49" w:rsidRDefault="00CC5D0C" w:rsidP="00CC5D0C">
      <w:pPr>
        <w:widowControl w:val="0"/>
        <w:autoSpaceDE w:val="0"/>
        <w:autoSpaceDN w:val="0"/>
        <w:adjustRightInd w:val="0"/>
        <w:spacing w:after="240"/>
        <w:contextualSpacing/>
        <w:rPr>
          <w:rFonts w:ascii="Times New Roman" w:hAnsi="Times New Roman" w:cs="Times New Roman"/>
        </w:rPr>
      </w:pPr>
      <w:r w:rsidRPr="00322F49">
        <w:rPr>
          <w:rFonts w:ascii="Times New Roman" w:hAnsi="Times New Roman" w:cs="Times New Roman"/>
        </w:rPr>
        <w:t>Massachusetts General Hospital</w:t>
      </w:r>
    </w:p>
    <w:p w14:paraId="36633C96" w14:textId="77777777" w:rsidR="00CC5D0C" w:rsidRPr="00322F49" w:rsidRDefault="00CC5D0C" w:rsidP="00CC5D0C">
      <w:pPr>
        <w:widowControl w:val="0"/>
        <w:autoSpaceDE w:val="0"/>
        <w:autoSpaceDN w:val="0"/>
        <w:adjustRightInd w:val="0"/>
        <w:spacing w:after="240"/>
        <w:contextualSpacing/>
        <w:rPr>
          <w:rFonts w:ascii="Times New Roman" w:hAnsi="Times New Roman" w:cs="Times New Roman"/>
        </w:rPr>
      </w:pPr>
      <w:proofErr w:type="spellStart"/>
      <w:r w:rsidRPr="00322F49">
        <w:rPr>
          <w:rFonts w:ascii="Times New Roman" w:hAnsi="Times New Roman" w:cs="Times New Roman"/>
        </w:rPr>
        <w:t>Thier</w:t>
      </w:r>
      <w:proofErr w:type="spellEnd"/>
      <w:r w:rsidRPr="00322F49">
        <w:rPr>
          <w:rFonts w:ascii="Times New Roman" w:hAnsi="Times New Roman" w:cs="Times New Roman"/>
        </w:rPr>
        <w:t xml:space="preserve"> 1025</w:t>
      </w:r>
    </w:p>
    <w:p w14:paraId="181816AB" w14:textId="77777777" w:rsidR="00CC5D0C" w:rsidRPr="00322F49" w:rsidRDefault="00CC5D0C" w:rsidP="00CC5D0C">
      <w:pPr>
        <w:widowControl w:val="0"/>
        <w:autoSpaceDE w:val="0"/>
        <w:autoSpaceDN w:val="0"/>
        <w:adjustRightInd w:val="0"/>
        <w:spacing w:after="240"/>
        <w:contextualSpacing/>
        <w:rPr>
          <w:rFonts w:ascii="Times New Roman" w:hAnsi="Times New Roman" w:cs="Times New Roman"/>
        </w:rPr>
      </w:pPr>
      <w:r w:rsidRPr="00322F49">
        <w:rPr>
          <w:rFonts w:ascii="Times New Roman" w:hAnsi="Times New Roman" w:cs="Times New Roman"/>
        </w:rPr>
        <w:t>50 Blossom St</w:t>
      </w:r>
    </w:p>
    <w:p w14:paraId="6F2A5F3B" w14:textId="77777777" w:rsidR="00CC5D0C" w:rsidRPr="00322F49" w:rsidRDefault="00CC5D0C" w:rsidP="00CC5D0C">
      <w:pPr>
        <w:widowControl w:val="0"/>
        <w:autoSpaceDE w:val="0"/>
        <w:autoSpaceDN w:val="0"/>
        <w:adjustRightInd w:val="0"/>
        <w:spacing w:after="240"/>
        <w:contextualSpacing/>
        <w:rPr>
          <w:rFonts w:ascii="Times New Roman" w:hAnsi="Times New Roman" w:cs="Times New Roman"/>
        </w:rPr>
      </w:pPr>
      <w:r w:rsidRPr="00322F49">
        <w:rPr>
          <w:rFonts w:ascii="Times New Roman" w:hAnsi="Times New Roman" w:cs="Times New Roman"/>
        </w:rPr>
        <w:t>Boston MA 02474</w:t>
      </w:r>
    </w:p>
    <w:p w14:paraId="479454B7" w14:textId="77777777" w:rsidR="00CC5D0C" w:rsidRPr="00322F49" w:rsidRDefault="00CC5D0C" w:rsidP="00CC5D0C">
      <w:pPr>
        <w:widowControl w:val="0"/>
        <w:autoSpaceDE w:val="0"/>
        <w:autoSpaceDN w:val="0"/>
        <w:adjustRightInd w:val="0"/>
        <w:spacing w:after="240"/>
        <w:contextualSpacing/>
        <w:rPr>
          <w:rFonts w:ascii="Times New Roman" w:hAnsi="Times New Roman" w:cs="Times New Roman"/>
        </w:rPr>
      </w:pPr>
      <w:r w:rsidRPr="00322F49">
        <w:rPr>
          <w:rFonts w:ascii="Times New Roman" w:hAnsi="Times New Roman" w:cs="Times New Roman"/>
        </w:rPr>
        <w:t>Phone: 617-726-3683</w:t>
      </w:r>
    </w:p>
    <w:p w14:paraId="2082DB1B" w14:textId="77777777" w:rsidR="00CC5D0C" w:rsidRPr="00322F49" w:rsidRDefault="00CC5D0C" w:rsidP="00CC5D0C">
      <w:pPr>
        <w:widowControl w:val="0"/>
        <w:autoSpaceDE w:val="0"/>
        <w:autoSpaceDN w:val="0"/>
        <w:adjustRightInd w:val="0"/>
        <w:spacing w:after="240"/>
        <w:contextualSpacing/>
        <w:rPr>
          <w:rFonts w:ascii="Times New Roman" w:hAnsi="Times New Roman" w:cs="Times New Roman"/>
          <w:lang w:val="fr-FR"/>
        </w:rPr>
      </w:pPr>
      <w:r w:rsidRPr="00322F49">
        <w:rPr>
          <w:rFonts w:ascii="Times New Roman" w:hAnsi="Times New Roman" w:cs="Times New Roman"/>
          <w:lang w:val="fr-FR"/>
        </w:rPr>
        <w:t xml:space="preserve">Email: </w:t>
      </w:r>
      <w:proofErr w:type="spellStart"/>
      <w:r w:rsidRPr="00322F49">
        <w:rPr>
          <w:rFonts w:ascii="Times New Roman" w:hAnsi="Times New Roman" w:cs="Times New Roman"/>
          <w:lang w:val="fr-FR"/>
        </w:rPr>
        <w:t>Gardella@Helix.mgh.harvard.edu</w:t>
      </w:r>
      <w:proofErr w:type="spellEnd"/>
    </w:p>
    <w:p w14:paraId="571C607E" w14:textId="77777777" w:rsidR="00CC5D0C" w:rsidRPr="00322F49" w:rsidRDefault="00CC5D0C" w:rsidP="00CC5D0C">
      <w:pPr>
        <w:widowControl w:val="0"/>
        <w:autoSpaceDE w:val="0"/>
        <w:autoSpaceDN w:val="0"/>
        <w:adjustRightInd w:val="0"/>
        <w:spacing w:after="240"/>
        <w:contextualSpacing/>
        <w:rPr>
          <w:rFonts w:ascii="Times New Roman" w:hAnsi="Times New Roman" w:cs="Times New Roman"/>
          <w:b/>
          <w:lang w:val="fr-FR"/>
        </w:rPr>
      </w:pPr>
    </w:p>
    <w:p w14:paraId="3BF34804" w14:textId="6E5E0A40" w:rsidR="001954D7" w:rsidRDefault="001954D7" w:rsidP="0087139F">
      <w:pPr>
        <w:rPr>
          <w:rFonts w:ascii="-webkit-standard" w:eastAsia="Times New Roman" w:hAnsi="-webkit-standard" w:cs="Times New Roman"/>
          <w:color w:val="000000"/>
          <w:sz w:val="27"/>
          <w:szCs w:val="27"/>
        </w:rPr>
      </w:pPr>
    </w:p>
    <w:p w14:paraId="05EE6E7E" w14:textId="77777777" w:rsidR="00703C22" w:rsidRPr="00322F49" w:rsidRDefault="00703C22" w:rsidP="00703C22">
      <w:pPr>
        <w:widowControl w:val="0"/>
        <w:autoSpaceDE w:val="0"/>
        <w:autoSpaceDN w:val="0"/>
        <w:adjustRightInd w:val="0"/>
        <w:spacing w:after="240"/>
        <w:contextualSpacing/>
        <w:rPr>
          <w:rFonts w:ascii="Times New Roman" w:hAnsi="Times New Roman" w:cs="Times New Roman"/>
        </w:rPr>
      </w:pPr>
      <w:r w:rsidRPr="00322F49">
        <w:rPr>
          <w:rFonts w:ascii="Times New Roman" w:hAnsi="Times New Roman" w:cs="Times New Roman"/>
          <w:b/>
          <w:bCs/>
        </w:rPr>
        <w:t>Grant support</w:t>
      </w:r>
      <w:r w:rsidRPr="00322F49">
        <w:rPr>
          <w:rFonts w:ascii="Times New Roman" w:hAnsi="Times New Roman" w:cs="Times New Roman"/>
        </w:rPr>
        <w:t xml:space="preserve">: This work was supported by research grants from the NIH (DK11794; AR066261); </w:t>
      </w:r>
      <w:proofErr w:type="spellStart"/>
      <w:r>
        <w:rPr>
          <w:rFonts w:ascii="Times New Roman" w:hAnsi="Times New Roman" w:cs="Times New Roman"/>
        </w:rPr>
        <w:t>Amolyt</w:t>
      </w:r>
      <w:proofErr w:type="spellEnd"/>
      <w:r>
        <w:rPr>
          <w:rFonts w:ascii="Times New Roman" w:hAnsi="Times New Roman" w:cs="Times New Roman"/>
        </w:rPr>
        <w:t xml:space="preserve"> </w:t>
      </w:r>
      <w:r w:rsidRPr="00322F49">
        <w:rPr>
          <w:rFonts w:ascii="Times New Roman" w:hAnsi="Times New Roman" w:cs="Times New Roman"/>
        </w:rPr>
        <w:t>Pharma</w:t>
      </w:r>
      <w:r>
        <w:rPr>
          <w:rFonts w:ascii="Times New Roman" w:hAnsi="Times New Roman" w:cs="Times New Roman"/>
        </w:rPr>
        <w:t xml:space="preserve"> </w:t>
      </w:r>
      <w:r w:rsidRPr="00322F49">
        <w:rPr>
          <w:rFonts w:ascii="Times New Roman" w:hAnsi="Times New Roman" w:cs="Times New Roman"/>
        </w:rPr>
        <w:t>and the Massachusetts General Hospital Innovation Fund</w:t>
      </w:r>
      <w:r>
        <w:rPr>
          <w:rFonts w:ascii="Times New Roman" w:hAnsi="Times New Roman" w:cs="Times New Roman"/>
        </w:rPr>
        <w:t xml:space="preserve">.  </w:t>
      </w:r>
    </w:p>
    <w:p w14:paraId="27119451" w14:textId="77777777" w:rsidR="00703C22" w:rsidRPr="00322F49" w:rsidRDefault="00703C22" w:rsidP="00703C22">
      <w:pPr>
        <w:widowControl w:val="0"/>
        <w:autoSpaceDE w:val="0"/>
        <w:autoSpaceDN w:val="0"/>
        <w:adjustRightInd w:val="0"/>
        <w:spacing w:after="240"/>
        <w:contextualSpacing/>
        <w:rPr>
          <w:rFonts w:ascii="Times New Roman" w:hAnsi="Times New Roman" w:cs="Times New Roman"/>
          <w:b/>
        </w:rPr>
      </w:pPr>
    </w:p>
    <w:p w14:paraId="6873B845" w14:textId="77777777" w:rsidR="00703C22" w:rsidRPr="00322F49" w:rsidRDefault="00703C22" w:rsidP="00703C22">
      <w:pPr>
        <w:widowControl w:val="0"/>
        <w:autoSpaceDE w:val="0"/>
        <w:autoSpaceDN w:val="0"/>
        <w:adjustRightInd w:val="0"/>
        <w:spacing w:after="240"/>
        <w:contextualSpacing/>
        <w:rPr>
          <w:rFonts w:ascii="Times New Roman" w:hAnsi="Times New Roman" w:cs="Times New Roman"/>
        </w:rPr>
      </w:pPr>
      <w:r w:rsidRPr="00322F49">
        <w:rPr>
          <w:rFonts w:ascii="Times New Roman" w:hAnsi="Times New Roman" w:cs="Times New Roman"/>
          <w:b/>
        </w:rPr>
        <w:t>Disclosures</w:t>
      </w:r>
      <w:r w:rsidRPr="00322F49">
        <w:rPr>
          <w:rFonts w:ascii="Times New Roman" w:hAnsi="Times New Roman" w:cs="Times New Roman"/>
        </w:rPr>
        <w:t xml:space="preserve">: </w:t>
      </w:r>
      <w:r>
        <w:rPr>
          <w:rFonts w:ascii="Times New Roman" w:hAnsi="Times New Roman" w:cs="Times New Roman"/>
        </w:rPr>
        <w:t xml:space="preserve">E.D. T.D., JP.V., S.A.Z. and V.K. have nothing to declare. T.J.G. and A.K. </w:t>
      </w:r>
      <w:r>
        <w:rPr>
          <w:rFonts w:ascii="-webkit-standard" w:eastAsia="Times New Roman" w:hAnsi="-webkit-standard" w:cs="Times New Roman"/>
          <w:color w:val="000000"/>
        </w:rPr>
        <w:t xml:space="preserve">received royalties from </w:t>
      </w:r>
      <w:proofErr w:type="spellStart"/>
      <w:r>
        <w:rPr>
          <w:rFonts w:ascii="-webkit-standard" w:eastAsia="Times New Roman" w:hAnsi="-webkit-standard" w:cs="Times New Roman"/>
          <w:color w:val="000000"/>
        </w:rPr>
        <w:t>Amolyt</w:t>
      </w:r>
      <w:proofErr w:type="spellEnd"/>
      <w:r>
        <w:rPr>
          <w:rFonts w:ascii="-webkit-standard" w:eastAsia="Times New Roman" w:hAnsi="-webkit-standard" w:cs="Times New Roman"/>
          <w:color w:val="000000"/>
        </w:rPr>
        <w:t xml:space="preserve"> Pharma., which has </w:t>
      </w:r>
      <w:r w:rsidRPr="00322F49">
        <w:rPr>
          <w:rFonts w:ascii="Times New Roman" w:hAnsi="Times New Roman" w:cs="Times New Roman"/>
        </w:rPr>
        <w:t xml:space="preserve">licensed </w:t>
      </w:r>
      <w:r>
        <w:rPr>
          <w:rFonts w:ascii="Times New Roman" w:hAnsi="Times New Roman" w:cs="Times New Roman"/>
        </w:rPr>
        <w:t xml:space="preserve">LA-PTH, claimed in </w:t>
      </w:r>
      <w:r w:rsidRPr="00322F49">
        <w:rPr>
          <w:rFonts w:ascii="Times New Roman" w:hAnsi="Times New Roman" w:cs="Times New Roman"/>
        </w:rPr>
        <w:t>U.S</w:t>
      </w:r>
      <w:r>
        <w:rPr>
          <w:rFonts w:ascii="Times New Roman" w:hAnsi="Times New Roman" w:cs="Times New Roman"/>
        </w:rPr>
        <w:t xml:space="preserve">. </w:t>
      </w:r>
      <w:r w:rsidRPr="00322F49">
        <w:rPr>
          <w:rFonts w:ascii="Times New Roman" w:hAnsi="Times New Roman" w:cs="Times New Roman"/>
        </w:rPr>
        <w:t xml:space="preserve">Patent </w:t>
      </w:r>
      <w:r w:rsidRPr="0020320B">
        <w:rPr>
          <w:rFonts w:ascii="Times New Roman" w:hAnsi="Times New Roman" w:cs="Times New Roman"/>
          <w:color w:val="000000" w:themeColor="text1"/>
        </w:rPr>
        <w:t>9,492,508</w:t>
      </w:r>
      <w:r w:rsidRPr="0020320B">
        <w:rPr>
          <w:rFonts w:ascii="Times New Roman" w:hAnsi="Times New Roman" w:cs="Times New Roman"/>
          <w:color w:val="000000"/>
        </w:rPr>
        <w:t>a</w:t>
      </w:r>
      <w:r>
        <w:rPr>
          <w:rFonts w:ascii="Times New Roman" w:hAnsi="Times New Roman" w:cs="Times New Roman"/>
          <w:color w:val="000000"/>
        </w:rPr>
        <w:t xml:space="preserve">, for development, </w:t>
      </w:r>
      <w:r w:rsidRPr="00322F49">
        <w:rPr>
          <w:rFonts w:ascii="Times New Roman" w:hAnsi="Times New Roman" w:cs="Times New Roman"/>
        </w:rPr>
        <w:t xml:space="preserve">with </w:t>
      </w:r>
      <w:r>
        <w:rPr>
          <w:rFonts w:ascii="Times New Roman" w:hAnsi="Times New Roman" w:cs="Times New Roman"/>
        </w:rPr>
        <w:t xml:space="preserve">the </w:t>
      </w:r>
      <w:r w:rsidRPr="00322F49">
        <w:rPr>
          <w:rFonts w:ascii="Times New Roman" w:hAnsi="Times New Roman" w:cs="Times New Roman"/>
        </w:rPr>
        <w:t>new designation AZP-3601</w:t>
      </w:r>
      <w:r>
        <w:rPr>
          <w:rFonts w:ascii="Times New Roman" w:hAnsi="Times New Roman" w:cs="Times New Roman"/>
        </w:rPr>
        <w:t>,</w:t>
      </w:r>
      <w:r w:rsidRPr="00322F49">
        <w:rPr>
          <w:rFonts w:ascii="Times New Roman" w:hAnsi="Times New Roman" w:cs="Times New Roman"/>
        </w:rPr>
        <w:t xml:space="preserve"> as a potential treatment for hypoparathyroidism</w:t>
      </w:r>
      <w:r>
        <w:rPr>
          <w:rFonts w:ascii="Times New Roman" w:hAnsi="Times New Roman" w:cs="Times New Roman"/>
        </w:rPr>
        <w:t xml:space="preserve">. T.J.G. received research support from </w:t>
      </w:r>
      <w:proofErr w:type="spellStart"/>
      <w:r>
        <w:rPr>
          <w:rFonts w:ascii="Times New Roman" w:hAnsi="Times New Roman" w:cs="Times New Roman"/>
        </w:rPr>
        <w:t>Amolyt</w:t>
      </w:r>
      <w:proofErr w:type="spellEnd"/>
      <w:r>
        <w:rPr>
          <w:rFonts w:ascii="Times New Roman" w:hAnsi="Times New Roman" w:cs="Times New Roman"/>
        </w:rPr>
        <w:t xml:space="preserve"> pharma.  </w:t>
      </w:r>
    </w:p>
    <w:p w14:paraId="3A712EE5" w14:textId="77777777" w:rsidR="00703C22" w:rsidRPr="00322F49" w:rsidRDefault="00703C22" w:rsidP="00703C22">
      <w:pPr>
        <w:widowControl w:val="0"/>
        <w:autoSpaceDE w:val="0"/>
        <w:autoSpaceDN w:val="0"/>
        <w:adjustRightInd w:val="0"/>
        <w:spacing w:after="240"/>
        <w:contextualSpacing/>
        <w:rPr>
          <w:rFonts w:ascii="Times New Roman" w:hAnsi="Times New Roman" w:cs="Times New Roman"/>
        </w:rPr>
      </w:pPr>
    </w:p>
    <w:p w14:paraId="2320DC63" w14:textId="77777777" w:rsidR="00703C22" w:rsidRPr="00322F49" w:rsidRDefault="00703C22" w:rsidP="00703C22">
      <w:pPr>
        <w:widowControl w:val="0"/>
        <w:autoSpaceDE w:val="0"/>
        <w:autoSpaceDN w:val="0"/>
        <w:adjustRightInd w:val="0"/>
        <w:spacing w:after="240"/>
        <w:contextualSpacing/>
        <w:rPr>
          <w:rFonts w:ascii="Times New Roman" w:hAnsi="Times New Roman" w:cs="Times New Roman"/>
        </w:rPr>
      </w:pPr>
      <w:r w:rsidRPr="00322F49">
        <w:rPr>
          <w:rFonts w:ascii="Times New Roman" w:hAnsi="Times New Roman" w:cs="Times New Roman"/>
          <w:b/>
          <w:bCs/>
        </w:rPr>
        <w:t>Key Words</w:t>
      </w:r>
      <w:r w:rsidRPr="00322F49">
        <w:rPr>
          <w:rFonts w:ascii="Times New Roman" w:hAnsi="Times New Roman" w:cs="Times New Roman"/>
        </w:rPr>
        <w:t xml:space="preserve">: </w:t>
      </w:r>
      <w:r w:rsidRPr="00BF2E93">
        <w:rPr>
          <w:rFonts w:ascii="Times New Roman" w:hAnsi="Times New Roman" w:cs="Arial"/>
        </w:rPr>
        <w:t xml:space="preserve">parathyroid hormone, </w:t>
      </w:r>
      <w:r>
        <w:rPr>
          <w:rFonts w:ascii="Times New Roman" w:hAnsi="Times New Roman" w:cs="Arial"/>
        </w:rPr>
        <w:t>p</w:t>
      </w:r>
      <w:r w:rsidRPr="00BF2E93">
        <w:rPr>
          <w:rFonts w:ascii="Times New Roman" w:hAnsi="Times New Roman" w:cs="Arial"/>
        </w:rPr>
        <w:t xml:space="preserve">eptide hormone, </w:t>
      </w:r>
      <w:r>
        <w:rPr>
          <w:rFonts w:ascii="Times New Roman" w:hAnsi="Times New Roman" w:cs="Arial"/>
        </w:rPr>
        <w:t>l</w:t>
      </w:r>
      <w:r w:rsidRPr="00BF2E93">
        <w:rPr>
          <w:rFonts w:ascii="Times New Roman" w:hAnsi="Times New Roman" w:cs="Arial"/>
        </w:rPr>
        <w:t>ong-acting PTH</w:t>
      </w:r>
      <w:r>
        <w:rPr>
          <w:rFonts w:ascii="Times New Roman" w:hAnsi="Times New Roman" w:cs="Arial"/>
        </w:rPr>
        <w:t xml:space="preserve">, </w:t>
      </w:r>
      <w:r w:rsidRPr="00BF2E93">
        <w:rPr>
          <w:rFonts w:ascii="Times New Roman" w:hAnsi="Times New Roman" w:cs="Arial"/>
        </w:rPr>
        <w:t xml:space="preserve">G protein-coupled receptor, class B GPCR, methionine oxidation  </w:t>
      </w:r>
    </w:p>
    <w:p w14:paraId="18EE46AE" w14:textId="77777777" w:rsidR="00703C22" w:rsidRDefault="00703C22" w:rsidP="001954D7">
      <w:pPr>
        <w:widowControl w:val="0"/>
        <w:autoSpaceDE w:val="0"/>
        <w:autoSpaceDN w:val="0"/>
        <w:adjustRightInd w:val="0"/>
        <w:spacing w:after="240"/>
        <w:contextualSpacing/>
        <w:rPr>
          <w:rFonts w:ascii="Times New Roman" w:hAnsi="Times New Roman" w:cs="Times New Roman"/>
          <w:b/>
        </w:rPr>
      </w:pPr>
    </w:p>
    <w:p w14:paraId="773E912B" w14:textId="0B3F5D63" w:rsidR="001954D7" w:rsidRPr="00322F49" w:rsidRDefault="001954D7" w:rsidP="001954D7">
      <w:pPr>
        <w:widowControl w:val="0"/>
        <w:autoSpaceDE w:val="0"/>
        <w:autoSpaceDN w:val="0"/>
        <w:adjustRightInd w:val="0"/>
        <w:spacing w:after="240"/>
        <w:contextualSpacing/>
        <w:rPr>
          <w:rFonts w:ascii="Times New Roman" w:hAnsi="Times New Roman" w:cs="Times New Roman"/>
          <w:b/>
        </w:rPr>
      </w:pPr>
      <w:r w:rsidRPr="00322F49">
        <w:rPr>
          <w:rFonts w:ascii="Times New Roman" w:hAnsi="Times New Roman" w:cs="Times New Roman"/>
          <w:b/>
        </w:rPr>
        <w:t xml:space="preserve">ABSTRACT </w:t>
      </w:r>
    </w:p>
    <w:p w14:paraId="36542651" w14:textId="77777777" w:rsidR="001954D7" w:rsidRPr="003273A1" w:rsidRDefault="001954D7" w:rsidP="001954D7">
      <w:pPr>
        <w:ind w:firstLine="720"/>
        <w:rPr>
          <w:rFonts w:ascii="Times New Roman" w:hAnsi="Times New Roman" w:cs="Times New Roman"/>
          <w:color w:val="000000" w:themeColor="text1"/>
        </w:rPr>
      </w:pPr>
      <w:r w:rsidRPr="003273A1">
        <w:rPr>
          <w:rFonts w:ascii="Times New Roman" w:hAnsi="Times New Roman" w:cs="Times New Roman"/>
          <w:color w:val="000000" w:themeColor="text1"/>
        </w:rPr>
        <w:t xml:space="preserve">LA-PTH is a long-acting </w:t>
      </w:r>
      <w:r>
        <w:rPr>
          <w:rFonts w:ascii="Times New Roman" w:hAnsi="Times New Roman" w:cs="Times New Roman"/>
          <w:color w:val="000000" w:themeColor="text1"/>
        </w:rPr>
        <w:t>p</w:t>
      </w:r>
      <w:r w:rsidRPr="003273A1">
        <w:rPr>
          <w:rFonts w:ascii="Times New Roman" w:hAnsi="Times New Roman" w:cs="Times New Roman"/>
          <w:color w:val="000000" w:themeColor="text1"/>
        </w:rPr>
        <w:t>arathyroid hormone (PTH) peptide analog in pre-clinical development for hypoparathyroidism (HP)</w:t>
      </w:r>
      <w:r>
        <w:rPr>
          <w:rFonts w:ascii="Times New Roman" w:hAnsi="Times New Roman" w:cs="Times New Roman"/>
          <w:color w:val="000000" w:themeColor="text1"/>
        </w:rPr>
        <w:t>. L</w:t>
      </w:r>
      <w:r w:rsidRPr="003273A1">
        <w:rPr>
          <w:rFonts w:ascii="Times New Roman" w:hAnsi="Times New Roman" w:cs="Times New Roman"/>
          <w:color w:val="000000" w:themeColor="text1"/>
        </w:rPr>
        <w:t xml:space="preserve">ike native PTH, </w:t>
      </w:r>
      <w:r>
        <w:rPr>
          <w:rFonts w:ascii="Times New Roman" w:hAnsi="Times New Roman" w:cs="Times New Roman"/>
          <w:color w:val="000000" w:themeColor="text1"/>
        </w:rPr>
        <w:t xml:space="preserve">LA-PTH </w:t>
      </w:r>
      <w:r w:rsidRPr="003273A1">
        <w:rPr>
          <w:rFonts w:ascii="Times New Roman" w:hAnsi="Times New Roman" w:cs="Times New Roman"/>
          <w:color w:val="000000" w:themeColor="text1"/>
        </w:rPr>
        <w:t>contains a methionine at position 8 that is predicted to be critical for function</w:t>
      </w:r>
      <w:r>
        <w:rPr>
          <w:rFonts w:ascii="Times New Roman" w:hAnsi="Times New Roman" w:cs="Times New Roman"/>
          <w:color w:val="000000" w:themeColor="text1"/>
        </w:rPr>
        <w:t>. W</w:t>
      </w:r>
      <w:r w:rsidRPr="003273A1">
        <w:rPr>
          <w:rFonts w:ascii="Times New Roman" w:hAnsi="Times New Roman" w:cs="Times New Roman"/>
          <w:color w:val="000000" w:themeColor="text1"/>
        </w:rPr>
        <w:t xml:space="preserve">e </w:t>
      </w:r>
      <w:r>
        <w:rPr>
          <w:rFonts w:ascii="Times New Roman" w:hAnsi="Times New Roman" w:cs="Times New Roman"/>
          <w:color w:val="000000" w:themeColor="text1"/>
        </w:rPr>
        <w:t xml:space="preserve">assessed the impact of methionine </w:t>
      </w:r>
      <w:r w:rsidRPr="003273A1">
        <w:rPr>
          <w:rFonts w:ascii="Times New Roman" w:hAnsi="Times New Roman" w:cs="Times New Roman"/>
          <w:color w:val="000000" w:themeColor="text1"/>
        </w:rPr>
        <w:t xml:space="preserve">oxidation </w:t>
      </w:r>
      <w:r>
        <w:rPr>
          <w:rFonts w:ascii="Times New Roman" w:hAnsi="Times New Roman" w:cs="Times New Roman"/>
          <w:color w:val="000000" w:themeColor="text1"/>
        </w:rPr>
        <w:t xml:space="preserve">on </w:t>
      </w:r>
      <w:r w:rsidRPr="003273A1">
        <w:rPr>
          <w:rFonts w:ascii="Times New Roman" w:hAnsi="Times New Roman" w:cs="Times New Roman"/>
          <w:color w:val="000000" w:themeColor="text1"/>
        </w:rPr>
        <w:t>the functional properties of LA-PTH</w:t>
      </w:r>
      <w:r>
        <w:rPr>
          <w:rFonts w:ascii="Times New Roman" w:hAnsi="Times New Roman" w:cs="Times New Roman"/>
          <w:color w:val="000000" w:themeColor="text1"/>
        </w:rPr>
        <w:t xml:space="preserve"> and control PTH ligands. O</w:t>
      </w:r>
      <w:r w:rsidRPr="003273A1">
        <w:rPr>
          <w:rFonts w:ascii="Times New Roman" w:hAnsi="Times New Roman" w:cs="Times New Roman"/>
          <w:color w:val="000000" w:themeColor="text1"/>
        </w:rPr>
        <w:t xml:space="preserve">xidation of PTH(1-34) </w:t>
      </w:r>
      <w:r>
        <w:rPr>
          <w:rFonts w:ascii="Times New Roman" w:hAnsi="Times New Roman" w:cs="Times New Roman"/>
          <w:color w:val="000000" w:themeColor="text1"/>
        </w:rPr>
        <w:t xml:space="preserve">resulted in </w:t>
      </w:r>
      <w:r w:rsidRPr="003273A1">
        <w:rPr>
          <w:rFonts w:ascii="Times New Roman" w:hAnsi="Times New Roman" w:cs="Times New Roman"/>
          <w:color w:val="000000" w:themeColor="text1"/>
        </w:rPr>
        <w:t>marked (</w:t>
      </w:r>
      <w:r>
        <w:rPr>
          <w:rFonts w:ascii="Times New Roman" w:hAnsi="Times New Roman" w:cs="Times New Roman"/>
          <w:color w:val="000000" w:themeColor="text1"/>
        </w:rPr>
        <w:t>~</w:t>
      </w:r>
      <w:r w:rsidRPr="003273A1">
        <w:rPr>
          <w:rFonts w:ascii="Times New Roman" w:hAnsi="Times New Roman" w:cs="Times New Roman"/>
          <w:color w:val="000000" w:themeColor="text1"/>
        </w:rPr>
        <w:t>20-fold) reduc</w:t>
      </w:r>
      <w:r>
        <w:rPr>
          <w:rFonts w:ascii="Times New Roman" w:hAnsi="Times New Roman" w:cs="Times New Roman"/>
          <w:color w:val="000000" w:themeColor="text1"/>
        </w:rPr>
        <w:t xml:space="preserve">tions in </w:t>
      </w:r>
      <w:r w:rsidRPr="003273A1">
        <w:rPr>
          <w:rFonts w:ascii="Times New Roman" w:hAnsi="Times New Roman" w:cs="Times New Roman"/>
          <w:color w:val="000000" w:themeColor="text1"/>
        </w:rPr>
        <w:t>binding affinity on the PTH receptor-1 (PTHR1)</w:t>
      </w:r>
      <w:r>
        <w:rPr>
          <w:rFonts w:ascii="Times New Roman" w:hAnsi="Times New Roman" w:cs="Times New Roman"/>
          <w:color w:val="000000" w:themeColor="text1"/>
        </w:rPr>
        <w:t xml:space="preserve"> in cell membranes, similarly diminished </w:t>
      </w:r>
      <w:r w:rsidRPr="003273A1">
        <w:rPr>
          <w:rFonts w:ascii="Times New Roman" w:hAnsi="Times New Roman" w:cs="Times New Roman"/>
          <w:color w:val="000000" w:themeColor="text1"/>
        </w:rPr>
        <w:t xml:space="preserve">potency </w:t>
      </w:r>
      <w:r>
        <w:rPr>
          <w:rFonts w:ascii="Times New Roman" w:hAnsi="Times New Roman" w:cs="Times New Roman"/>
          <w:color w:val="000000" w:themeColor="text1"/>
        </w:rPr>
        <w:t xml:space="preserve">for </w:t>
      </w:r>
      <w:r w:rsidRPr="003273A1">
        <w:rPr>
          <w:rFonts w:ascii="Times New Roman" w:hAnsi="Times New Roman" w:cs="Times New Roman"/>
          <w:color w:val="000000" w:themeColor="text1"/>
        </w:rPr>
        <w:t>cAMP signaling in osteoblastic cell</w:t>
      </w:r>
      <w:r>
        <w:rPr>
          <w:rFonts w:ascii="Times New Roman" w:hAnsi="Times New Roman" w:cs="Times New Roman"/>
          <w:color w:val="000000" w:themeColor="text1"/>
        </w:rPr>
        <w:t xml:space="preserve"> lines </w:t>
      </w:r>
      <w:r w:rsidRPr="003273A1">
        <w:rPr>
          <w:rFonts w:ascii="Times New Roman" w:hAnsi="Times New Roman" w:cs="Times New Roman"/>
          <w:color w:val="000000" w:themeColor="text1"/>
        </w:rPr>
        <w:t>(SaOS-2</w:t>
      </w:r>
      <w:r>
        <w:rPr>
          <w:rFonts w:ascii="Times New Roman" w:hAnsi="Times New Roman" w:cs="Times New Roman"/>
          <w:color w:val="000000" w:themeColor="text1"/>
        </w:rPr>
        <w:t xml:space="preserve"> and </w:t>
      </w:r>
      <w:r w:rsidRPr="003273A1">
        <w:rPr>
          <w:rFonts w:ascii="Times New Roman" w:hAnsi="Times New Roman" w:cs="Times New Roman"/>
          <w:color w:val="000000" w:themeColor="text1"/>
        </w:rPr>
        <w:t>UMR106)</w:t>
      </w:r>
      <w:r>
        <w:rPr>
          <w:rFonts w:ascii="Times New Roman" w:hAnsi="Times New Roman" w:cs="Times New Roman"/>
          <w:color w:val="000000" w:themeColor="text1"/>
        </w:rPr>
        <w:t xml:space="preserve">, and impaired </w:t>
      </w:r>
      <w:r w:rsidRPr="003273A1">
        <w:rPr>
          <w:rFonts w:ascii="Times New Roman" w:hAnsi="Times New Roman" w:cs="Times New Roman"/>
          <w:color w:val="000000" w:themeColor="text1"/>
        </w:rPr>
        <w:t xml:space="preserve">efficacy </w:t>
      </w:r>
      <w:r>
        <w:rPr>
          <w:rFonts w:ascii="Times New Roman" w:hAnsi="Times New Roman" w:cs="Times New Roman"/>
          <w:color w:val="000000" w:themeColor="text1"/>
        </w:rPr>
        <w:t>for raising blood</w:t>
      </w:r>
      <w:r w:rsidRPr="003273A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calcium </w:t>
      </w:r>
      <w:r w:rsidRPr="003273A1">
        <w:rPr>
          <w:rFonts w:ascii="Times New Roman" w:hAnsi="Times New Roman" w:cs="Times New Roman"/>
          <w:color w:val="000000" w:themeColor="text1"/>
        </w:rPr>
        <w:t>in mice</w:t>
      </w:r>
      <w:r>
        <w:rPr>
          <w:rFonts w:ascii="Times New Roman" w:hAnsi="Times New Roman" w:cs="Times New Roman"/>
          <w:color w:val="000000" w:themeColor="text1"/>
        </w:rPr>
        <w:t xml:space="preserve">. Surprisingly, </w:t>
      </w:r>
      <w:r w:rsidRPr="003273A1">
        <w:rPr>
          <w:rFonts w:ascii="Times New Roman" w:hAnsi="Times New Roman" w:cs="Times New Roman"/>
          <w:color w:val="000000" w:themeColor="text1"/>
        </w:rPr>
        <w:t xml:space="preserve">oxidation of LA-PTH </w:t>
      </w:r>
      <w:r>
        <w:rPr>
          <w:rFonts w:ascii="Times New Roman" w:hAnsi="Times New Roman" w:cs="Times New Roman"/>
          <w:color w:val="000000" w:themeColor="text1"/>
        </w:rPr>
        <w:t xml:space="preserve">resulted in </w:t>
      </w:r>
      <w:r w:rsidRPr="003273A1">
        <w:rPr>
          <w:rFonts w:ascii="Times New Roman" w:hAnsi="Times New Roman" w:cs="Times New Roman"/>
          <w:color w:val="000000" w:themeColor="text1"/>
        </w:rPr>
        <w:t>little or no change in these functional responses</w:t>
      </w:r>
      <w:r>
        <w:rPr>
          <w:rFonts w:ascii="Times New Roman" w:hAnsi="Times New Roman" w:cs="Times New Roman"/>
          <w:color w:val="000000" w:themeColor="text1"/>
        </w:rPr>
        <w:t>. T</w:t>
      </w:r>
      <w:r w:rsidRPr="003273A1">
        <w:rPr>
          <w:rFonts w:ascii="Times New Roman" w:hAnsi="Times New Roman" w:cs="Times New Roman"/>
          <w:color w:val="000000" w:themeColor="text1"/>
        </w:rPr>
        <w:t xml:space="preserve">he </w:t>
      </w:r>
      <w:r>
        <w:rPr>
          <w:rFonts w:ascii="Times New Roman" w:hAnsi="Times New Roman" w:cs="Times New Roman"/>
          <w:color w:val="000000" w:themeColor="text1"/>
        </w:rPr>
        <w:t xml:space="preserve">signaling </w:t>
      </w:r>
      <w:r w:rsidRPr="003273A1">
        <w:rPr>
          <w:rFonts w:ascii="Times New Roman" w:hAnsi="Times New Roman" w:cs="Times New Roman"/>
          <w:color w:val="000000" w:themeColor="text1"/>
        </w:rPr>
        <w:t>potency of oxidized-LA-PTH was</w:t>
      </w:r>
      <w:r>
        <w:rPr>
          <w:rFonts w:ascii="Times New Roman" w:hAnsi="Times New Roman" w:cs="Times New Roman"/>
          <w:color w:val="000000" w:themeColor="text1"/>
        </w:rPr>
        <w:t>, however,</w:t>
      </w:r>
      <w:r w:rsidRPr="003273A1">
        <w:rPr>
          <w:rFonts w:ascii="Times New Roman" w:hAnsi="Times New Roman" w:cs="Times New Roman"/>
          <w:color w:val="000000" w:themeColor="text1"/>
        </w:rPr>
        <w:t xml:space="preserve"> reduced ~</w:t>
      </w:r>
      <w:r>
        <w:rPr>
          <w:rFonts w:ascii="Times New Roman" w:hAnsi="Times New Roman" w:cs="Times New Roman"/>
          <w:color w:val="000000" w:themeColor="text1"/>
        </w:rPr>
        <w:t>4</w:t>
      </w:r>
      <w:r w:rsidRPr="003273A1">
        <w:rPr>
          <w:rFonts w:ascii="Times New Roman" w:hAnsi="Times New Roman" w:cs="Times New Roman"/>
          <w:color w:val="000000" w:themeColor="text1"/>
        </w:rPr>
        <w:t>0-fold compared to LA-PTH in cells expressing a PTHR1 construct that lacks the N-terminal extracellular domain (ECD)</w:t>
      </w:r>
      <w:r>
        <w:rPr>
          <w:rFonts w:ascii="Times New Roman" w:hAnsi="Times New Roman" w:cs="Times New Roman"/>
          <w:color w:val="000000" w:themeColor="text1"/>
        </w:rPr>
        <w:t xml:space="preserve">. </w:t>
      </w:r>
      <w:r w:rsidRPr="003273A1">
        <w:rPr>
          <w:rFonts w:ascii="Times New Roman" w:hAnsi="Times New Roman" w:cs="Times New Roman"/>
          <w:color w:val="000000" w:themeColor="text1"/>
        </w:rPr>
        <w:t xml:space="preserve">Molecular </w:t>
      </w:r>
      <w:r w:rsidRPr="003273A1">
        <w:rPr>
          <w:rFonts w:ascii="Times New Roman" w:hAnsi="Times New Roman" w:cs="Times New Roman"/>
          <w:color w:val="000000" w:themeColor="text1"/>
        </w:rPr>
        <w:lastRenderedPageBreak/>
        <w:t xml:space="preserve">modeling revealed that </w:t>
      </w:r>
      <w:r>
        <w:rPr>
          <w:rFonts w:ascii="Times New Roman" w:hAnsi="Times New Roman" w:cs="Times New Roman"/>
          <w:color w:val="000000" w:themeColor="text1"/>
        </w:rPr>
        <w:t xml:space="preserve">while </w:t>
      </w:r>
      <w:r w:rsidRPr="003273A1">
        <w:rPr>
          <w:rFonts w:ascii="Times New Roman" w:hAnsi="Times New Roman" w:cs="Times New Roman"/>
          <w:color w:val="000000" w:themeColor="text1"/>
        </w:rPr>
        <w:t xml:space="preserve">Met8 </w:t>
      </w:r>
      <w:r>
        <w:rPr>
          <w:rFonts w:ascii="Times New Roman" w:hAnsi="Times New Roman" w:cs="Times New Roman"/>
          <w:color w:val="000000" w:themeColor="text1"/>
        </w:rPr>
        <w:t xml:space="preserve">of both LA-PTH and PTH(1-34) is situated </w:t>
      </w:r>
      <w:r w:rsidRPr="003273A1">
        <w:rPr>
          <w:rFonts w:ascii="Times New Roman" w:hAnsi="Times New Roman" w:cs="Times New Roman"/>
          <w:color w:val="000000" w:themeColor="text1"/>
        </w:rPr>
        <w:t xml:space="preserve">within the </w:t>
      </w:r>
      <w:proofErr w:type="spellStart"/>
      <w:r w:rsidRPr="003273A1">
        <w:rPr>
          <w:rFonts w:ascii="Times New Roman" w:hAnsi="Times New Roman" w:cs="Times New Roman"/>
          <w:color w:val="000000" w:themeColor="text1"/>
        </w:rPr>
        <w:t>orthosteric</w:t>
      </w:r>
      <w:proofErr w:type="spellEnd"/>
      <w:r w:rsidRPr="003273A1">
        <w:rPr>
          <w:rFonts w:ascii="Times New Roman" w:hAnsi="Times New Roman" w:cs="Times New Roman"/>
          <w:color w:val="000000" w:themeColor="text1"/>
        </w:rPr>
        <w:t xml:space="preserve"> </w:t>
      </w:r>
      <w:r>
        <w:rPr>
          <w:rFonts w:ascii="Times New Roman" w:hAnsi="Times New Roman" w:cs="Times New Roman"/>
          <w:color w:val="000000" w:themeColor="text1"/>
        </w:rPr>
        <w:t>ligand-</w:t>
      </w:r>
      <w:r w:rsidRPr="003273A1">
        <w:rPr>
          <w:rFonts w:ascii="Times New Roman" w:hAnsi="Times New Roman" w:cs="Times New Roman"/>
          <w:color w:val="000000" w:themeColor="text1"/>
        </w:rPr>
        <w:t xml:space="preserve">binding pocket </w:t>
      </w:r>
      <w:r>
        <w:rPr>
          <w:rFonts w:ascii="Times New Roman" w:hAnsi="Times New Roman" w:cs="Times New Roman"/>
          <w:color w:val="000000" w:themeColor="text1"/>
        </w:rPr>
        <w:t xml:space="preserve">of the receptor’s transmembrane domain bundle (TMD), the Met8 sidechain position is shifted for the two ligands such that upon Met8 oxidation of PTH(1-34) steric clashes occur that are not seen with oxidized LA-PTH. The findings suggest that LA-PTH and PTH(1-34) engage the receptor differently in the Met8-interaction environment of the TMD bundle, and that this interaction environment can be </w:t>
      </w:r>
      <w:r w:rsidRPr="003273A1">
        <w:rPr>
          <w:rFonts w:ascii="Times New Roman" w:hAnsi="Times New Roman" w:cs="Times New Roman"/>
          <w:color w:val="000000" w:themeColor="text1"/>
        </w:rPr>
        <w:t>allosteric</w:t>
      </w:r>
      <w:r>
        <w:rPr>
          <w:rFonts w:ascii="Times New Roman" w:hAnsi="Times New Roman" w:cs="Times New Roman"/>
          <w:color w:val="000000" w:themeColor="text1"/>
        </w:rPr>
        <w:t xml:space="preserve">ally influenced by </w:t>
      </w:r>
      <w:r w:rsidRPr="003273A1">
        <w:rPr>
          <w:rFonts w:ascii="Times New Roman" w:hAnsi="Times New Roman" w:cs="Times New Roman"/>
          <w:color w:val="000000" w:themeColor="text1"/>
        </w:rPr>
        <w:t xml:space="preserve">the ECD </w:t>
      </w:r>
      <w:r>
        <w:rPr>
          <w:rFonts w:ascii="Times New Roman" w:hAnsi="Times New Roman" w:cs="Times New Roman"/>
          <w:color w:val="000000" w:themeColor="text1"/>
        </w:rPr>
        <w:t>component</w:t>
      </w:r>
      <w:r w:rsidRPr="003273A1">
        <w:rPr>
          <w:rFonts w:ascii="Times New Roman" w:hAnsi="Times New Roman" w:cs="Times New Roman"/>
          <w:color w:val="000000" w:themeColor="text1"/>
        </w:rPr>
        <w:t xml:space="preserve"> of the ligand-receptor complex</w:t>
      </w:r>
      <w:r>
        <w:rPr>
          <w:rFonts w:ascii="Times New Roman" w:hAnsi="Times New Roman" w:cs="Times New Roman"/>
          <w:color w:val="000000" w:themeColor="text1"/>
        </w:rPr>
        <w:t xml:space="preserve">. </w:t>
      </w:r>
      <w:r w:rsidRPr="003273A1">
        <w:rPr>
          <w:rFonts w:ascii="Times New Roman" w:hAnsi="Times New Roman" w:cs="Times New Roman"/>
          <w:color w:val="000000" w:themeColor="text1"/>
        </w:rPr>
        <w:t xml:space="preserve">The </w:t>
      </w:r>
      <w:r>
        <w:rPr>
          <w:rFonts w:ascii="Times New Roman" w:hAnsi="Times New Roman" w:cs="Times New Roman"/>
          <w:color w:val="000000" w:themeColor="text1"/>
        </w:rPr>
        <w:t xml:space="preserve">findings should be useful for the future development of novel PTH-based peptide therapeutics for diseases of bone and mineral ion metabolism. </w:t>
      </w:r>
    </w:p>
    <w:p w14:paraId="50B4A665" w14:textId="77777777" w:rsidR="001954D7" w:rsidRDefault="001954D7" w:rsidP="001954D7">
      <w:pPr>
        <w:rPr>
          <w:rFonts w:ascii="-webkit-standard" w:eastAsia="Times New Roman" w:hAnsi="-webkit-standard" w:cs="Times New Roman"/>
          <w:color w:val="000000"/>
          <w:sz w:val="27"/>
          <w:szCs w:val="27"/>
        </w:rPr>
      </w:pPr>
    </w:p>
    <w:p w14:paraId="7275BDC1" w14:textId="77777777" w:rsidR="0087139F" w:rsidRDefault="0087139F" w:rsidP="001954D7">
      <w:pPr>
        <w:rPr>
          <w:rFonts w:ascii="-webkit-standard" w:eastAsia="Times New Roman" w:hAnsi="-webkit-standard" w:cs="Times New Roman"/>
          <w:color w:val="000000"/>
          <w:sz w:val="27"/>
          <w:szCs w:val="27"/>
        </w:rPr>
      </w:pPr>
    </w:p>
    <w:p w14:paraId="6C34851B" w14:textId="4D30A217" w:rsidR="00741ACF" w:rsidRDefault="00741ACF" w:rsidP="00741ACF">
      <w:pPr>
        <w:rPr>
          <w:rFonts w:ascii="Arial" w:eastAsiaTheme="minorEastAsia" w:hAnsi="Arial" w:cs="Arial"/>
          <w:b/>
          <w:bCs/>
          <w:color w:val="000000"/>
          <w:sz w:val="22"/>
          <w:szCs w:val="22"/>
        </w:rPr>
      </w:pPr>
      <w:r w:rsidRPr="0057015D">
        <w:rPr>
          <w:rFonts w:ascii="Arial" w:eastAsiaTheme="minorEastAsia" w:hAnsi="Arial" w:cs="Arial"/>
          <w:noProof/>
          <w:color w:val="000000"/>
        </w:rPr>
        <w:lastRenderedPageBreak/>
        <mc:AlternateContent>
          <mc:Choice Requires="wps">
            <w:drawing>
              <wp:inline distT="0" distB="0" distL="0" distR="0" wp14:anchorId="2B5BE30C" wp14:editId="28B90D4F">
                <wp:extent cx="5943600" cy="8107680"/>
                <wp:effectExtent l="0" t="0" r="12700" b="7620"/>
                <wp:docPr id="7" name="Text Box 7"/>
                <wp:cNvGraphicFramePr/>
                <a:graphic xmlns:a="http://schemas.openxmlformats.org/drawingml/2006/main">
                  <a:graphicData uri="http://schemas.microsoft.com/office/word/2010/wordprocessingShape">
                    <wps:wsp>
                      <wps:cNvSpPr txBox="1"/>
                      <wps:spPr>
                        <a:xfrm>
                          <a:off x="0" y="0"/>
                          <a:ext cx="5943600" cy="8107680"/>
                        </a:xfrm>
                        <a:prstGeom prst="rect">
                          <a:avLst/>
                        </a:prstGeom>
                        <a:solidFill>
                          <a:schemeClr val="lt1"/>
                        </a:solidFill>
                        <a:ln w="6350">
                          <a:solidFill>
                            <a:prstClr val="black"/>
                          </a:solidFill>
                        </a:ln>
                      </wps:spPr>
                      <wps:txbx>
                        <w:txbxContent>
                          <w:p w14:paraId="6810662F" w14:textId="77777777" w:rsidR="00741ACF" w:rsidRPr="00BB3CC8" w:rsidRDefault="00741ACF" w:rsidP="00741ACF">
                            <w:pPr>
                              <w:pStyle w:val="NormalWeb"/>
                              <w:rPr>
                                <w:rFonts w:ascii="Arial" w:eastAsiaTheme="minorEastAsia" w:hAnsi="Arial" w:cs="Arial"/>
                                <w:b/>
                                <w:bCs/>
                                <w:color w:val="000000"/>
                                <w:sz w:val="16"/>
                                <w:szCs w:val="16"/>
                              </w:rPr>
                            </w:pPr>
                            <w:r w:rsidRPr="00BB3CC8">
                              <w:rPr>
                                <w:noProof/>
                                <w:sz w:val="11"/>
                                <w:szCs w:val="11"/>
                              </w:rPr>
                              <w:drawing>
                                <wp:inline distT="0" distB="0" distL="0" distR="0" wp14:anchorId="517AF524" wp14:editId="751B50B3">
                                  <wp:extent cx="5943600" cy="4135337"/>
                                  <wp:effectExtent l="0" t="0" r="0" b="508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forReport6.png"/>
                                          <pic:cNvPicPr/>
                                        </pic:nvPicPr>
                                        <pic:blipFill rotWithShape="1">
                                          <a:blip r:embed="rId6"/>
                                          <a:srcRect r="19209"/>
                                          <a:stretch/>
                                        </pic:blipFill>
                                        <pic:spPr bwMode="auto">
                                          <a:xfrm>
                                            <a:off x="0" y="0"/>
                                            <a:ext cx="5943600" cy="4135337"/>
                                          </a:xfrm>
                                          <a:prstGeom prst="rect">
                                            <a:avLst/>
                                          </a:prstGeom>
                                          <a:ln>
                                            <a:noFill/>
                                          </a:ln>
                                          <a:extLst>
                                            <a:ext uri="{53640926-AAD7-44D8-BBD7-CCE9431645EC}">
                                              <a14:shadowObscured xmlns:a14="http://schemas.microsoft.com/office/drawing/2010/main"/>
                                            </a:ext>
                                          </a:extLst>
                                        </pic:spPr>
                                      </pic:pic>
                                    </a:graphicData>
                                  </a:graphic>
                                </wp:inline>
                              </w:drawing>
                            </w:r>
                          </w:p>
                          <w:p w14:paraId="582D008D" w14:textId="5E404CC4" w:rsidR="00741ACF" w:rsidRPr="00741ACF" w:rsidRDefault="00741ACF" w:rsidP="00741ACF">
                            <w:pPr>
                              <w:jc w:val="both"/>
                              <w:rPr>
                                <w:rFonts w:ascii="Arial" w:eastAsiaTheme="minorEastAsia" w:hAnsi="Arial" w:cs="Arial"/>
                                <w:color w:val="000000"/>
                              </w:rPr>
                            </w:pPr>
                            <w:r w:rsidRPr="00741ACF">
                              <w:rPr>
                                <w:rFonts w:ascii="Arial" w:eastAsiaTheme="minorEastAsia" w:hAnsi="Arial" w:cs="Arial"/>
                                <w:b/>
                                <w:bCs/>
                                <w:color w:val="000000"/>
                              </w:rPr>
                              <w:t xml:space="preserve">Figure S1 Altered Modes of Engagement of LA-PTH and PTH. </w:t>
                            </w:r>
                            <w:r w:rsidRPr="00741ACF">
                              <w:rPr>
                                <w:rFonts w:ascii="Arial" w:hAnsi="Arial" w:cs="Arial"/>
                                <w:b/>
                                <w:bCs/>
                              </w:rPr>
                              <w:t>A)</w:t>
                            </w:r>
                            <w:r w:rsidRPr="00741ACF">
                              <w:rPr>
                                <w:rFonts w:ascii="Arial" w:hAnsi="Arial" w:cs="Arial"/>
                              </w:rPr>
                              <w:t xml:space="preserve"> Amino acid sequence alignment of PTH peptides; residues are colored to highlight </w:t>
                            </w:r>
                            <w:proofErr w:type="spellStart"/>
                            <w:r w:rsidRPr="00741ACF">
                              <w:rPr>
                                <w:rFonts w:ascii="Arial" w:hAnsi="Arial" w:cs="Arial"/>
                              </w:rPr>
                              <w:t>methionines</w:t>
                            </w:r>
                            <w:proofErr w:type="spellEnd"/>
                            <w:r w:rsidRPr="00741ACF">
                              <w:rPr>
                                <w:rFonts w:ascii="Arial" w:hAnsi="Arial" w:cs="Arial"/>
                              </w:rPr>
                              <w:t xml:space="preserve"> (red), residues native to PTH (blue); residues native to </w:t>
                            </w:r>
                            <w:proofErr w:type="spellStart"/>
                            <w:r w:rsidRPr="00741ACF">
                              <w:rPr>
                                <w:rFonts w:ascii="Arial" w:hAnsi="Arial" w:cs="Arial"/>
                              </w:rPr>
                              <w:t>PTHrP</w:t>
                            </w:r>
                            <w:proofErr w:type="spellEnd"/>
                            <w:r w:rsidRPr="00741ACF">
                              <w:rPr>
                                <w:rFonts w:ascii="Arial" w:hAnsi="Arial" w:cs="Arial"/>
                              </w:rPr>
                              <w:t xml:space="preserve"> and not in PTH (green), and substituted residues of </w:t>
                            </w:r>
                            <w:proofErr w:type="spellStart"/>
                            <w:r w:rsidRPr="00741ACF">
                              <w:rPr>
                                <w:rFonts w:ascii="Arial" w:hAnsi="Arial" w:cs="Arial"/>
                              </w:rPr>
                              <w:t>norleucine</w:t>
                            </w:r>
                            <w:proofErr w:type="spellEnd"/>
                            <w:r w:rsidRPr="00741ACF">
                              <w:rPr>
                                <w:rFonts w:ascii="Arial" w:hAnsi="Arial" w:cs="Arial"/>
                              </w:rPr>
                              <w:t xml:space="preserve"> (n), </w:t>
                            </w:r>
                            <w:r w:rsidRPr="00741ACF">
                              <w:rPr>
                                <w:rFonts w:ascii="Symbol" w:hAnsi="Symbol" w:cs="Arial"/>
                              </w:rPr>
                              <w:t>a</w:t>
                            </w:r>
                            <w:r w:rsidRPr="00741ACF">
                              <w:rPr>
                                <w:rFonts w:ascii="Arial" w:hAnsi="Arial" w:cs="Arial"/>
                              </w:rPr>
                              <w:t>-amino-</w:t>
                            </w:r>
                            <w:proofErr w:type="spellStart"/>
                            <w:r w:rsidRPr="00741ACF">
                              <w:rPr>
                                <w:rFonts w:ascii="Arial" w:hAnsi="Arial" w:cs="Arial"/>
                              </w:rPr>
                              <w:t>isobutyric</w:t>
                            </w:r>
                            <w:proofErr w:type="spellEnd"/>
                            <w:r w:rsidRPr="00741ACF">
                              <w:rPr>
                                <w:rFonts w:ascii="Arial" w:hAnsi="Arial" w:cs="Arial"/>
                              </w:rPr>
                              <w:t xml:space="preserve"> acid (b, </w:t>
                            </w:r>
                            <w:proofErr w:type="spellStart"/>
                            <w:r w:rsidRPr="00741ACF">
                              <w:rPr>
                                <w:rFonts w:ascii="Arial" w:hAnsi="Arial" w:cs="Arial"/>
                              </w:rPr>
                              <w:t>Aib</w:t>
                            </w:r>
                            <w:proofErr w:type="spellEnd"/>
                            <w:r w:rsidRPr="00741ACF">
                              <w:rPr>
                                <w:rFonts w:ascii="Arial" w:hAnsi="Arial" w:cs="Arial"/>
                              </w:rPr>
                              <w:t xml:space="preserve">), homoarginine (r), aminocyclopentane-1-carboxylic acid (c, </w:t>
                            </w:r>
                            <w:proofErr w:type="spellStart"/>
                            <w:r w:rsidRPr="00741ACF">
                              <w:rPr>
                                <w:rFonts w:ascii="Arial" w:hAnsi="Arial" w:cs="Arial"/>
                              </w:rPr>
                              <w:t>Acp</w:t>
                            </w:r>
                            <w:proofErr w:type="spellEnd"/>
                            <w:r w:rsidRPr="00741ACF">
                              <w:rPr>
                                <w:rFonts w:ascii="Arial" w:hAnsi="Arial" w:cs="Arial"/>
                              </w:rPr>
                              <w:t xml:space="preserve">) (purple). Residues involved in ionic interactions with the PTHR1 ECD are in boxes with position numbers indicated.  </w:t>
                            </w:r>
                            <w:r w:rsidRPr="00741ACF">
                              <w:rPr>
                                <w:rFonts w:ascii="Arial" w:hAnsi="Arial" w:cs="Arial"/>
                                <w:b/>
                                <w:bCs/>
                              </w:rPr>
                              <w:t>B)</w:t>
                            </w:r>
                            <w:r w:rsidRPr="00741ACF">
                              <w:rPr>
                                <w:rFonts w:ascii="Arial" w:hAnsi="Arial" w:cs="Arial"/>
                              </w:rPr>
                              <w:t xml:space="preserve"> Overlay of the </w:t>
                            </w:r>
                            <w:proofErr w:type="spellStart"/>
                            <w:r w:rsidRPr="00741ACF">
                              <w:rPr>
                                <w:rFonts w:ascii="Arial" w:hAnsi="Arial" w:cs="Arial"/>
                              </w:rPr>
                              <w:t>cryoEM</w:t>
                            </w:r>
                            <w:proofErr w:type="spellEnd"/>
                            <w:r w:rsidRPr="00741ACF">
                              <w:rPr>
                                <w:rFonts w:ascii="Arial" w:hAnsi="Arial" w:cs="Arial"/>
                              </w:rPr>
                              <w:t xml:space="preserve"> structure (PDB:6nbf) of the PTHR1 (green) bound to LA-PTH (orange) and the model of the PTHR1 (pink) bound to PTH (cyan) based on the </w:t>
                            </w:r>
                            <w:proofErr w:type="spellStart"/>
                            <w:r w:rsidRPr="00741ACF">
                              <w:rPr>
                                <w:rFonts w:ascii="Arial" w:hAnsi="Arial" w:cs="Arial"/>
                              </w:rPr>
                              <w:t>ePTH</w:t>
                            </w:r>
                            <w:proofErr w:type="spellEnd"/>
                            <w:r w:rsidRPr="00741ACF">
                              <w:rPr>
                                <w:rFonts w:ascii="Arial" w:hAnsi="Arial" w:cs="Arial"/>
                              </w:rPr>
                              <w:t xml:space="preserve">-bound PTHR1 X-ray crystal structure (PDB: 6fj3).  Along with distinct interactions involving the C-terminal regions of LA-PTH and PTH, and conformational shifts in ECL2, there is a shift in the positioning of the N-terminal regions of the ligands, such that the N-terminus of LA-PTH is closer to TM3 while that of PTH is closer to TM1; this shift in the N-terminal portion places Met8 of the two ligands in different interaction environments.  </w:t>
                            </w:r>
                            <w:r w:rsidRPr="00741ACF">
                              <w:rPr>
                                <w:rFonts w:ascii="Arial" w:hAnsi="Arial" w:cs="Arial"/>
                                <w:b/>
                                <w:bCs/>
                              </w:rPr>
                              <w:t>C-D)</w:t>
                            </w:r>
                            <w:r w:rsidRPr="00741ACF">
                              <w:rPr>
                                <w:rFonts w:ascii="Arial" w:hAnsi="Arial" w:cs="Arial"/>
                              </w:rPr>
                              <w:t xml:space="preserve"> Close-up views of the ECD region showing different ionic interactions involving the divergent 17-25 regions of LA-PTH and PTH.  </w:t>
                            </w:r>
                            <w:r w:rsidRPr="00741ACF">
                              <w:rPr>
                                <w:rFonts w:ascii="Arial" w:hAnsi="Arial" w:cs="Arial"/>
                                <w:b/>
                                <w:bCs/>
                              </w:rPr>
                              <w:t xml:space="preserve">E-F) </w:t>
                            </w:r>
                            <w:r w:rsidRPr="00741ACF">
                              <w:rPr>
                                <w:rFonts w:ascii="Arial" w:hAnsi="Arial" w:cs="Arial"/>
                              </w:rPr>
                              <w:t>Close-up views of the TMD region showing residues within 5A˚ of</w:t>
                            </w:r>
                            <w:r w:rsidRPr="00741ACF">
                              <w:rPr>
                                <w:rFonts w:ascii="Arial" w:hAnsi="Arial" w:cs="Arial"/>
                                <w:b/>
                                <w:bCs/>
                              </w:rPr>
                              <w:t xml:space="preserve"> </w:t>
                            </w:r>
                            <w:r w:rsidRPr="00741ACF">
                              <w:rPr>
                                <w:rFonts w:ascii="Arial" w:hAnsi="Arial" w:cs="Arial"/>
                              </w:rPr>
                              <w:t xml:space="preserve">Met8 in LA-PTH and in PTH; distances between the Met8 sulfur atom and the closest PTHR1 backbone atom are indicated.  </w:t>
                            </w:r>
                            <w:r w:rsidRPr="00741ACF">
                              <w:rPr>
                                <w:rFonts w:ascii="Arial" w:hAnsi="Arial" w:cs="Arial"/>
                                <w:b/>
                                <w:bCs/>
                              </w:rPr>
                              <w:t xml:space="preserve">G-H) </w:t>
                            </w:r>
                            <w:r w:rsidRPr="00741ACF">
                              <w:rPr>
                                <w:rFonts w:ascii="Arial" w:hAnsi="Arial" w:cs="Arial"/>
                              </w:rPr>
                              <w:t>Models of the PTHR1 bound to</w:t>
                            </w:r>
                            <w:r w:rsidRPr="00741ACF">
                              <w:rPr>
                                <w:rFonts w:ascii="Arial" w:hAnsi="Arial" w:cs="Arial"/>
                                <w:b/>
                                <w:bCs/>
                              </w:rPr>
                              <w:t xml:space="preserve"> </w:t>
                            </w:r>
                            <w:r w:rsidRPr="00741ACF">
                              <w:rPr>
                                <w:rFonts w:ascii="Arial" w:hAnsi="Arial" w:cs="Arial"/>
                              </w:rPr>
                              <w:t>Ox-LA-PTH and Ox-PTH showing residues within 5A˚ of</w:t>
                            </w:r>
                            <w:r w:rsidRPr="00741ACF">
                              <w:rPr>
                                <w:rFonts w:ascii="Arial" w:hAnsi="Arial" w:cs="Arial"/>
                                <w:b/>
                                <w:bCs/>
                              </w:rPr>
                              <w:t xml:space="preserve"> </w:t>
                            </w:r>
                            <w:r w:rsidRPr="00741ACF">
                              <w:rPr>
                                <w:rFonts w:ascii="Arial" w:hAnsi="Arial" w:cs="Arial"/>
                              </w:rPr>
                              <w:t>Met8; distances between the oxygen of Ox-Met8 and the closest PTHR1 backbone atom are indicated</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5BE30C" id="Text Box 7" o:spid="_x0000_s1038" type="#_x0000_t202" style="width:468pt;height:6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" fillcolor="white [3201]" strokeweight=".5pt">
                <v:textbox>
                  <w:txbxContent>
                    <w:p w14:paraId="6810662F" w14:textId="77777777" w:rsidR="00741ACF" w:rsidRPr="00BB3CC8" w:rsidRDefault="00741ACF" w:rsidP="00741ACF">
                      <w:pPr>
                        <w:pStyle w:val="NormalWeb"/>
                        <w:rPr>
                          <w:rFonts w:ascii="Arial" w:eastAsiaTheme="minorEastAsia" w:hAnsi="Arial" w:cs="Arial"/>
                          <w:b/>
                          <w:bCs/>
                          <w:color w:val="000000"/>
                          <w:sz w:val="16"/>
                          <w:szCs w:val="16"/>
                        </w:rPr>
                      </w:pPr>
                      <w:r w:rsidRPr="00BB3CC8">
                        <w:rPr>
                          <w:noProof/>
                          <w:sz w:val="11"/>
                          <w:szCs w:val="11"/>
                        </w:rPr>
                        <w:drawing>
                          <wp:inline distT="0" distB="0" distL="0" distR="0" wp14:anchorId="517AF524" wp14:editId="751B50B3">
                            <wp:extent cx="5943600" cy="4135337"/>
                            <wp:effectExtent l="0" t="0" r="0" b="508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forReport6.png"/>
                                    <pic:cNvPicPr/>
                                  </pic:nvPicPr>
                                  <pic:blipFill rotWithShape="1">
                                    <a:blip r:embed="rId33"/>
                                    <a:srcRect r="19209"/>
                                    <a:stretch/>
                                  </pic:blipFill>
                                  <pic:spPr bwMode="auto">
                                    <a:xfrm>
                                      <a:off x="0" y="0"/>
                                      <a:ext cx="5943600" cy="4135337"/>
                                    </a:xfrm>
                                    <a:prstGeom prst="rect">
                                      <a:avLst/>
                                    </a:prstGeom>
                                    <a:ln>
                                      <a:noFill/>
                                    </a:ln>
                                    <a:extLst>
                                      <a:ext uri="{53640926-AAD7-44D8-BBD7-CCE9431645EC}">
                                        <a14:shadowObscured xmlns:a14="http://schemas.microsoft.com/office/drawing/2010/main"/>
                                      </a:ext>
                                    </a:extLst>
                                  </pic:spPr>
                                </pic:pic>
                              </a:graphicData>
                            </a:graphic>
                          </wp:inline>
                        </w:drawing>
                      </w:r>
                    </w:p>
                    <w:p w14:paraId="582D008D" w14:textId="5E404CC4" w:rsidR="00741ACF" w:rsidRPr="00741ACF" w:rsidRDefault="00741ACF" w:rsidP="00741ACF">
                      <w:pPr>
                        <w:jc w:val="both"/>
                        <w:rPr>
                          <w:rFonts w:ascii="Arial" w:eastAsiaTheme="minorEastAsia" w:hAnsi="Arial" w:cs="Arial"/>
                          <w:color w:val="000000"/>
                        </w:rPr>
                      </w:pPr>
                      <w:r w:rsidRPr="00741ACF">
                        <w:rPr>
                          <w:rFonts w:ascii="Arial" w:eastAsiaTheme="minorEastAsia" w:hAnsi="Arial" w:cs="Arial"/>
                          <w:b/>
                          <w:bCs/>
                          <w:color w:val="000000"/>
                        </w:rPr>
                        <w:t xml:space="preserve">Figure S1 Altered Modes of Engagement of LA-PTH and PTH. </w:t>
                      </w:r>
                      <w:r w:rsidRPr="00741ACF">
                        <w:rPr>
                          <w:rFonts w:ascii="Arial" w:hAnsi="Arial" w:cs="Arial"/>
                          <w:b/>
                          <w:bCs/>
                        </w:rPr>
                        <w:t>A)</w:t>
                      </w:r>
                      <w:r w:rsidRPr="00741ACF">
                        <w:rPr>
                          <w:rFonts w:ascii="Arial" w:hAnsi="Arial" w:cs="Arial"/>
                        </w:rPr>
                        <w:t xml:space="preserve"> Amino acid sequence alignment of PTH peptides; residues are colored to highlight methionines (red), residues native to PTH (blue); residues native to PTHrP and not in PTH (green), and substituted residues of norleucine (n), </w:t>
                      </w:r>
                      <w:r w:rsidRPr="00741ACF">
                        <w:rPr>
                          <w:rFonts w:ascii="Symbol" w:hAnsi="Symbol" w:cs="Arial"/>
                        </w:rPr>
                        <w:t>a</w:t>
                      </w:r>
                      <w:r w:rsidRPr="00741ACF">
                        <w:rPr>
                          <w:rFonts w:ascii="Arial" w:hAnsi="Arial" w:cs="Arial"/>
                        </w:rPr>
                        <w:t>-amino-</w:t>
                      </w:r>
                      <w:proofErr w:type="spellStart"/>
                      <w:r w:rsidRPr="00741ACF">
                        <w:rPr>
                          <w:rFonts w:ascii="Arial" w:hAnsi="Arial" w:cs="Arial"/>
                        </w:rPr>
                        <w:t>isobutyric</w:t>
                      </w:r>
                      <w:proofErr w:type="spellEnd"/>
                      <w:r w:rsidRPr="00741ACF">
                        <w:rPr>
                          <w:rFonts w:ascii="Arial" w:hAnsi="Arial" w:cs="Arial"/>
                        </w:rPr>
                        <w:t xml:space="preserve"> acid (b, Aib), homoarginine (r), aminocyclopentane-1-carboxylic acid (c, </w:t>
                      </w:r>
                      <w:proofErr w:type="spellStart"/>
                      <w:r w:rsidRPr="00741ACF">
                        <w:rPr>
                          <w:rFonts w:ascii="Arial" w:hAnsi="Arial" w:cs="Arial"/>
                        </w:rPr>
                        <w:t>Acp</w:t>
                      </w:r>
                      <w:proofErr w:type="spellEnd"/>
                      <w:r w:rsidRPr="00741ACF">
                        <w:rPr>
                          <w:rFonts w:ascii="Arial" w:hAnsi="Arial" w:cs="Arial"/>
                        </w:rPr>
                        <w:t xml:space="preserve">) (purple). Residues involved in ionic interactions with the PTHR1 ECD are in boxes with position numbers indicated.  </w:t>
                      </w:r>
                      <w:r w:rsidRPr="00741ACF">
                        <w:rPr>
                          <w:rFonts w:ascii="Arial" w:hAnsi="Arial" w:cs="Arial"/>
                          <w:b/>
                          <w:bCs/>
                        </w:rPr>
                        <w:t>B)</w:t>
                      </w:r>
                      <w:r w:rsidRPr="00741ACF">
                        <w:rPr>
                          <w:rFonts w:ascii="Arial" w:hAnsi="Arial" w:cs="Arial"/>
                        </w:rPr>
                        <w:t xml:space="preserve"> Overlay of the </w:t>
                      </w:r>
                      <w:proofErr w:type="spellStart"/>
                      <w:r w:rsidRPr="00741ACF">
                        <w:rPr>
                          <w:rFonts w:ascii="Arial" w:hAnsi="Arial" w:cs="Arial"/>
                        </w:rPr>
                        <w:t>cryoEM</w:t>
                      </w:r>
                      <w:proofErr w:type="spellEnd"/>
                      <w:r w:rsidRPr="00741ACF">
                        <w:rPr>
                          <w:rFonts w:ascii="Arial" w:hAnsi="Arial" w:cs="Arial"/>
                        </w:rPr>
                        <w:t xml:space="preserve"> structure (PDB:6nbf) of the PTHR1 (green) bound to LA-PTH (orange) and the model of the PTHR1 (pink) bound to PTH (cyan) based on the ePTH-bound PTHR1 X-ray crystal structure (PDB: 6fj3).  Along with distinct interactions involving the C-terminal regions of LA-PTH and PTH, and conformational shifts in ECL2, there is a shift in the positioning of the N-terminal regions of the ligands, such that the N-terminus of LA-PTH is closer to TM3 while that of PTH is closer to TM1; this shift in the N-terminal portion places Met8 of the two ligands in different interaction environments.  </w:t>
                      </w:r>
                      <w:r w:rsidRPr="00741ACF">
                        <w:rPr>
                          <w:rFonts w:ascii="Arial" w:hAnsi="Arial" w:cs="Arial"/>
                          <w:b/>
                          <w:bCs/>
                        </w:rPr>
                        <w:t>C-D)</w:t>
                      </w:r>
                      <w:r w:rsidRPr="00741ACF">
                        <w:rPr>
                          <w:rFonts w:ascii="Arial" w:hAnsi="Arial" w:cs="Arial"/>
                        </w:rPr>
                        <w:t xml:space="preserve"> Close-up views of the ECD region showing different ionic interactions involving the divergent 17-25 regions of LA-PTH and PTH.  </w:t>
                      </w:r>
                      <w:r w:rsidRPr="00741ACF">
                        <w:rPr>
                          <w:rFonts w:ascii="Arial" w:hAnsi="Arial" w:cs="Arial"/>
                          <w:b/>
                          <w:bCs/>
                        </w:rPr>
                        <w:t xml:space="preserve">E-F) </w:t>
                      </w:r>
                      <w:r w:rsidRPr="00741ACF">
                        <w:rPr>
                          <w:rFonts w:ascii="Arial" w:hAnsi="Arial" w:cs="Arial"/>
                        </w:rPr>
                        <w:t>Close-up views of the TMD region showing residues within 5A˚ of</w:t>
                      </w:r>
                      <w:r w:rsidRPr="00741ACF">
                        <w:rPr>
                          <w:rFonts w:ascii="Arial" w:hAnsi="Arial" w:cs="Arial"/>
                          <w:b/>
                          <w:bCs/>
                        </w:rPr>
                        <w:t xml:space="preserve"> </w:t>
                      </w:r>
                      <w:r w:rsidRPr="00741ACF">
                        <w:rPr>
                          <w:rFonts w:ascii="Arial" w:hAnsi="Arial" w:cs="Arial"/>
                        </w:rPr>
                        <w:t xml:space="preserve">Met8 in LA-PTH and in PTH; distances between the Met8 sulfur atom and the closest PTHR1 backbone atom are indicated.  </w:t>
                      </w:r>
                      <w:r w:rsidRPr="00741ACF">
                        <w:rPr>
                          <w:rFonts w:ascii="Arial" w:hAnsi="Arial" w:cs="Arial"/>
                          <w:b/>
                          <w:bCs/>
                        </w:rPr>
                        <w:t xml:space="preserve">G-H) </w:t>
                      </w:r>
                      <w:r w:rsidRPr="00741ACF">
                        <w:rPr>
                          <w:rFonts w:ascii="Arial" w:hAnsi="Arial" w:cs="Arial"/>
                        </w:rPr>
                        <w:t>Models of the PTHR1 bound to</w:t>
                      </w:r>
                      <w:r w:rsidRPr="00741ACF">
                        <w:rPr>
                          <w:rFonts w:ascii="Arial" w:hAnsi="Arial" w:cs="Arial"/>
                          <w:b/>
                          <w:bCs/>
                        </w:rPr>
                        <w:t xml:space="preserve"> </w:t>
                      </w:r>
                      <w:r w:rsidRPr="00741ACF">
                        <w:rPr>
                          <w:rFonts w:ascii="Arial" w:hAnsi="Arial" w:cs="Arial"/>
                        </w:rPr>
                        <w:t>Ox-LA-PTH and Ox-PTH showing residues within 5A˚ of</w:t>
                      </w:r>
                      <w:r w:rsidRPr="00741ACF">
                        <w:rPr>
                          <w:rFonts w:ascii="Arial" w:hAnsi="Arial" w:cs="Arial"/>
                          <w:b/>
                          <w:bCs/>
                        </w:rPr>
                        <w:t xml:space="preserve"> </w:t>
                      </w:r>
                      <w:r w:rsidRPr="00741ACF">
                        <w:rPr>
                          <w:rFonts w:ascii="Arial" w:hAnsi="Arial" w:cs="Arial"/>
                        </w:rPr>
                        <w:t>Met8; distances between the oxygen of Ox-Met8 and the closest PTHR1 backbone atom are indicated</w:t>
                      </w:r>
                      <w:r>
                        <w:rPr>
                          <w:rFonts w:ascii="Arial" w:hAnsi="Arial" w:cs="Arial"/>
                        </w:rPr>
                        <w:t>.</w:t>
                      </w:r>
                    </w:p>
                  </w:txbxContent>
                </v:textbox>
                <w10:anchorlock/>
              </v:shape>
            </w:pict>
          </mc:Fallback>
        </mc:AlternateContent>
      </w:r>
    </w:p>
    <w:p w14:paraId="50520EE4" w14:textId="728257C5" w:rsidR="00BB3CC8" w:rsidRPr="00741ACF" w:rsidRDefault="00BB3CC8" w:rsidP="00BB3CC8">
      <w:pPr>
        <w:jc w:val="both"/>
        <w:rPr>
          <w:rFonts w:ascii="Arial" w:eastAsiaTheme="minorEastAsia" w:hAnsi="Arial" w:cs="Arial"/>
          <w:color w:val="000000"/>
        </w:rPr>
      </w:pPr>
      <w:r w:rsidRPr="00741ACF">
        <w:rPr>
          <w:rFonts w:ascii="Arial" w:eastAsiaTheme="minorEastAsia" w:hAnsi="Arial" w:cs="Arial"/>
          <w:b/>
          <w:bCs/>
          <w:color w:val="000000"/>
        </w:rPr>
        <w:lastRenderedPageBreak/>
        <w:t>Figure S1 Altered Modes of Engagement of LA-PTH and PTH</w:t>
      </w:r>
      <w:r w:rsidR="00741ACF" w:rsidRPr="00741ACF">
        <w:rPr>
          <w:rFonts w:ascii="Arial" w:eastAsiaTheme="minorEastAsia" w:hAnsi="Arial" w:cs="Arial"/>
          <w:b/>
          <w:bCs/>
          <w:color w:val="000000"/>
        </w:rPr>
        <w:t xml:space="preserve"> (continued)</w:t>
      </w:r>
      <w:r w:rsidRPr="00741ACF">
        <w:rPr>
          <w:rFonts w:ascii="Arial" w:eastAsiaTheme="minorEastAsia" w:hAnsi="Arial" w:cs="Arial"/>
          <w:b/>
          <w:bCs/>
          <w:color w:val="000000"/>
        </w:rPr>
        <w:t xml:space="preserve">. </w:t>
      </w:r>
    </w:p>
    <w:p w14:paraId="771222D5" w14:textId="25D17794" w:rsidR="00BB3CC8" w:rsidRPr="00741ACF" w:rsidRDefault="00BB3CC8" w:rsidP="00BB3CC8">
      <w:pPr>
        <w:jc w:val="both"/>
        <w:rPr>
          <w:rFonts w:ascii="Arial" w:eastAsiaTheme="minorEastAsia" w:hAnsi="Arial" w:cs="Arial"/>
          <w:color w:val="000000"/>
        </w:rPr>
      </w:pPr>
      <w:r w:rsidRPr="00741ACF">
        <w:rPr>
          <w:rFonts w:ascii="Arial" w:eastAsiaTheme="minorEastAsia" w:hAnsi="Arial" w:cs="Arial"/>
          <w:color w:val="000000"/>
        </w:rPr>
        <w:t>The overlay reveals a complete overlap of the bound peptides only in the region around conserved Arg20, which in both models interacts with D137 located in the hairpin loop between two β-sheets of the receptor’s ECD (</w:t>
      </w:r>
      <w:r w:rsidRPr="00741ACF">
        <w:rPr>
          <w:rFonts w:ascii="Arial" w:eastAsiaTheme="minorEastAsia" w:hAnsi="Arial" w:cs="Arial"/>
          <w:b/>
          <w:bCs/>
          <w:color w:val="000000"/>
        </w:rPr>
        <w:t>B</w:t>
      </w:r>
      <w:r w:rsidRPr="00741ACF">
        <w:rPr>
          <w:rFonts w:ascii="Arial" w:eastAsiaTheme="minorEastAsia" w:hAnsi="Arial" w:cs="Arial"/>
          <w:color w:val="000000"/>
        </w:rPr>
        <w:t>).  Non-conserved ligand residues flanking Arg20 are involved in distinct interactions (</w:t>
      </w:r>
      <w:r w:rsidRPr="00741ACF">
        <w:rPr>
          <w:rFonts w:ascii="Arial" w:eastAsiaTheme="minorEastAsia" w:hAnsi="Arial" w:cs="Arial"/>
          <w:b/>
          <w:bCs/>
          <w:color w:val="000000"/>
        </w:rPr>
        <w:t>C-D</w:t>
      </w:r>
      <w:r w:rsidRPr="00741ACF">
        <w:rPr>
          <w:rFonts w:ascii="Arial" w:eastAsiaTheme="minorEastAsia" w:hAnsi="Arial" w:cs="Arial"/>
          <w:color w:val="000000"/>
        </w:rPr>
        <w:t>).  Specifically, LA-PTH has Asp17 and Arg21 that, along with Arg20, form a network of interactions surrounding D137. Arg21 also interacts with D177 of the ECD located near the top of TM1.  In contrast, PTH has Ser17 and Val21, which are not involved in any direct interaction with the receptor.  However, one helical turn above Val21 is Arg25, which interacts with D177, while Glu19 of PTH interacts with K34 of the ECD N-terminal helix. LA-PTH has His25 and Arg19, which cannot form these interactions.  Together, these non-conserved interactions lead to a shift in the orientation of the C-terminal portions of the peptides within the receptor ECD, which is accompanied by a change in positioning of the N-terminal portions of the ligands and the placement of Met8 within the TMD bundle.  In LA-PTH, Met8 is positioned between TM3 and ECL2, while in PTH it is directed more towards TM2 (</w:t>
      </w:r>
      <w:r w:rsidRPr="00741ACF">
        <w:rPr>
          <w:rFonts w:ascii="Arial" w:eastAsiaTheme="minorEastAsia" w:hAnsi="Arial" w:cs="Arial"/>
          <w:b/>
          <w:bCs/>
          <w:color w:val="000000"/>
        </w:rPr>
        <w:t>B</w:t>
      </w:r>
      <w:r w:rsidRPr="00741ACF">
        <w:rPr>
          <w:rFonts w:ascii="Arial" w:eastAsiaTheme="minorEastAsia" w:hAnsi="Arial" w:cs="Arial"/>
          <w:color w:val="000000"/>
        </w:rPr>
        <w:t>), which changes the neighboring receptor residues, as well as the volume available to the Met8 sidechain. In the LA-PTH-bound complex, the closest receptor backbone heavy atom to the Met8 sulfur is in D353 of flexible ECL2 at a distance of 5.07Å, while in the PTH-bound complex, the closest backbone heavy atom is in helical D241 of TM2 at a distance of 4.33Å (</w:t>
      </w:r>
      <w:r w:rsidRPr="00741ACF">
        <w:rPr>
          <w:rFonts w:ascii="Arial" w:eastAsiaTheme="minorEastAsia" w:hAnsi="Arial" w:cs="Arial"/>
          <w:b/>
          <w:bCs/>
          <w:color w:val="000000"/>
        </w:rPr>
        <w:t>E-F</w:t>
      </w:r>
      <w:r w:rsidRPr="00741ACF">
        <w:rPr>
          <w:rFonts w:ascii="Arial" w:eastAsiaTheme="minorEastAsia" w:hAnsi="Arial" w:cs="Arial"/>
          <w:color w:val="000000"/>
        </w:rPr>
        <w:t xml:space="preserve">).  The increase in distance seen for Met8 in LA-PTH, as compared to in PTH, provides for better accommodation of the additional oxygen atom introduced by oxidation of the sidechain sulfur.  </w:t>
      </w:r>
      <w:r w:rsidR="00741ACF">
        <w:rPr>
          <w:rFonts w:ascii="Arial" w:eastAsiaTheme="minorEastAsia" w:hAnsi="Arial" w:cs="Arial"/>
          <w:color w:val="000000"/>
        </w:rPr>
        <w:t>Models of the c</w:t>
      </w:r>
      <w:r w:rsidRPr="00741ACF">
        <w:rPr>
          <w:rFonts w:ascii="Arial" w:eastAsiaTheme="minorEastAsia" w:hAnsi="Arial" w:cs="Arial"/>
          <w:color w:val="000000"/>
        </w:rPr>
        <w:t xml:space="preserve">omplexes of Ox-LA-PTH and Ox-PTH bound to the PTHR1 </w:t>
      </w:r>
      <w:r w:rsidR="00741ACF">
        <w:rPr>
          <w:rFonts w:ascii="Arial" w:eastAsiaTheme="minorEastAsia" w:hAnsi="Arial" w:cs="Arial"/>
          <w:color w:val="000000"/>
        </w:rPr>
        <w:t>supports this hypothesis</w:t>
      </w:r>
      <w:r w:rsidRPr="00741ACF">
        <w:rPr>
          <w:rFonts w:ascii="Arial" w:eastAsiaTheme="minorEastAsia" w:hAnsi="Arial" w:cs="Arial"/>
          <w:color w:val="000000"/>
        </w:rPr>
        <w:t>. For the Ox-LA-PTH-bound structure, the additional O atom is not only accommodated but also finds hydrogen bonding interactions with K240 of TM2 (</w:t>
      </w:r>
      <w:r w:rsidRPr="00741ACF">
        <w:rPr>
          <w:rFonts w:ascii="Arial" w:eastAsiaTheme="minorEastAsia" w:hAnsi="Arial" w:cs="Arial"/>
          <w:b/>
          <w:bCs/>
          <w:color w:val="000000"/>
        </w:rPr>
        <w:t>G-H</w:t>
      </w:r>
      <w:r w:rsidRPr="00741ACF">
        <w:rPr>
          <w:rFonts w:ascii="Arial" w:eastAsiaTheme="minorEastAsia" w:hAnsi="Arial" w:cs="Arial"/>
          <w:color w:val="000000"/>
        </w:rPr>
        <w:t>).  In the Ox-PTH-bound PTHR1, the O atom of Met8SO is placed even closer to the backbone of D241 at a distance of 2.88 A˚, which introduces steric clashes</w:t>
      </w:r>
      <w:r w:rsidR="00352131">
        <w:rPr>
          <w:rFonts w:ascii="Arial" w:eastAsiaTheme="minorEastAsia" w:hAnsi="Arial" w:cs="Arial"/>
          <w:color w:val="000000"/>
        </w:rPr>
        <w:t xml:space="preserve"> that may contribute to the </w:t>
      </w:r>
      <w:r w:rsidRPr="00741ACF">
        <w:rPr>
          <w:rFonts w:ascii="Arial" w:eastAsiaTheme="minorEastAsia" w:hAnsi="Arial" w:cs="Arial"/>
          <w:color w:val="000000"/>
        </w:rPr>
        <w:t xml:space="preserve">loss </w:t>
      </w:r>
      <w:r w:rsidR="00352131">
        <w:rPr>
          <w:rFonts w:ascii="Arial" w:eastAsiaTheme="minorEastAsia" w:hAnsi="Arial" w:cs="Arial"/>
          <w:color w:val="000000"/>
        </w:rPr>
        <w:t xml:space="preserve">in </w:t>
      </w:r>
      <w:r w:rsidRPr="00741ACF">
        <w:rPr>
          <w:rFonts w:ascii="Arial" w:eastAsiaTheme="minorEastAsia" w:hAnsi="Arial" w:cs="Arial"/>
          <w:color w:val="000000"/>
        </w:rPr>
        <w:t xml:space="preserve">activity seen with Ox-PTH.                             </w:t>
      </w:r>
    </w:p>
    <w:p w14:paraId="0C865947" w14:textId="44FC1AC8" w:rsidR="00BB3CC8" w:rsidRDefault="00BB3CC8">
      <w:pPr>
        <w:rPr>
          <w:rFonts w:ascii="Arial" w:hAnsi="Arial" w:cs="Arial"/>
        </w:rPr>
      </w:pPr>
    </w:p>
    <w:p w14:paraId="169C4998" w14:textId="26CE26A8" w:rsidR="00741ACF" w:rsidRPr="0057015D" w:rsidRDefault="00741ACF">
      <w:pPr>
        <w:rPr>
          <w:rFonts w:ascii="Arial" w:hAnsi="Arial" w:cs="Arial"/>
        </w:rPr>
      </w:pPr>
    </w:p>
    <w:sectPr w:rsidR="00741ACF" w:rsidRPr="0057015D" w:rsidSect="00F91150">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NumType w:start="2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0249C" w14:textId="77777777" w:rsidR="00A21156" w:rsidRDefault="00A21156" w:rsidP="00430402">
      <w:r>
        <w:separator/>
      </w:r>
    </w:p>
  </w:endnote>
  <w:endnote w:type="continuationSeparator" w:id="0">
    <w:p w14:paraId="60D9A80A" w14:textId="77777777" w:rsidR="00A21156" w:rsidRDefault="00A21156" w:rsidP="00430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Times New Roman (Body CS)">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13907181"/>
      <w:docPartObj>
        <w:docPartGallery w:val="Page Numbers (Bottom of Page)"/>
        <w:docPartUnique/>
      </w:docPartObj>
    </w:sdtPr>
    <w:sdtEndPr>
      <w:rPr>
        <w:rStyle w:val="PageNumber"/>
      </w:rPr>
    </w:sdtEndPr>
    <w:sdtContent>
      <w:p w14:paraId="01FA9A08" w14:textId="75C6E486" w:rsidR="00430402" w:rsidRDefault="00430402" w:rsidP="003B4FF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3D127A" w14:textId="77777777" w:rsidR="00430402" w:rsidRDefault="004304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84496239"/>
      <w:docPartObj>
        <w:docPartGallery w:val="Page Numbers (Bottom of Page)"/>
        <w:docPartUnique/>
      </w:docPartObj>
    </w:sdtPr>
    <w:sdtEndPr>
      <w:rPr>
        <w:rStyle w:val="PageNumber"/>
      </w:rPr>
    </w:sdtEndPr>
    <w:sdtContent>
      <w:p w14:paraId="5E9F69D6" w14:textId="472C7FC9" w:rsidR="00430402" w:rsidRDefault="00430402" w:rsidP="003B4FF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DF6C2E3" w14:textId="77777777" w:rsidR="00430402" w:rsidRDefault="004304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A2609" w14:textId="77777777" w:rsidR="00F91150" w:rsidRDefault="00F911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22D2B1" w14:textId="77777777" w:rsidR="00A21156" w:rsidRDefault="00A21156" w:rsidP="00430402">
      <w:r>
        <w:separator/>
      </w:r>
    </w:p>
  </w:footnote>
  <w:footnote w:type="continuationSeparator" w:id="0">
    <w:p w14:paraId="353D2A86" w14:textId="77777777" w:rsidR="00A21156" w:rsidRDefault="00A21156" w:rsidP="004304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60887086"/>
      <w:docPartObj>
        <w:docPartGallery w:val="Page Numbers (Top of Page)"/>
        <w:docPartUnique/>
      </w:docPartObj>
    </w:sdtPr>
    <w:sdtEndPr>
      <w:rPr>
        <w:rStyle w:val="PageNumber"/>
      </w:rPr>
    </w:sdtEndPr>
    <w:sdtContent>
      <w:p w14:paraId="7F46E98A" w14:textId="162698A1" w:rsidR="00982674" w:rsidRDefault="00982674" w:rsidP="00716187">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628195" w14:textId="77777777" w:rsidR="00982674" w:rsidRDefault="009826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5B8C6" w14:textId="2C712173" w:rsidR="00430402" w:rsidRPr="00A177C5" w:rsidRDefault="00A177C5" w:rsidP="00A177C5">
    <w:pPr>
      <w:pStyle w:val="Header"/>
      <w:tabs>
        <w:tab w:val="clear" w:pos="4680"/>
      </w:tabs>
      <w:rPr>
        <w:rFonts w:cs="Times New Roman (Body CS)"/>
        <w:color w:val="4472C4" w:themeColor="accent1"/>
      </w:rPr>
    </w:pPr>
    <w:r w:rsidRPr="008E3ED8">
      <w:rPr>
        <w:rFonts w:cs="Times New Roman (Body CS)"/>
        <w:color w:val="4472C4" w:themeColor="accent1"/>
      </w:rPr>
      <w:t xml:space="preserve">Oxidation of </w:t>
    </w:r>
    <w:r>
      <w:rPr>
        <w:rFonts w:cs="Times New Roman (Body CS)"/>
        <w:color w:val="4472C4" w:themeColor="accent1"/>
      </w:rPr>
      <w:t>Met8</w:t>
    </w:r>
    <w:r w:rsidRPr="008E3ED8">
      <w:rPr>
        <w:rFonts w:cs="Times New Roman (Body CS)"/>
        <w:color w:val="4472C4" w:themeColor="accent1"/>
      </w:rPr>
      <w:t xml:space="preserve"> in PTH Ligand Analogs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D6069" w14:textId="77777777" w:rsidR="00F91150" w:rsidRDefault="00F9115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D0D"/>
    <w:rsid w:val="0000293A"/>
    <w:rsid w:val="00007E4C"/>
    <w:rsid w:val="0001094F"/>
    <w:rsid w:val="000171B5"/>
    <w:rsid w:val="00022E2F"/>
    <w:rsid w:val="0002400A"/>
    <w:rsid w:val="00025DAB"/>
    <w:rsid w:val="00040E16"/>
    <w:rsid w:val="000547CA"/>
    <w:rsid w:val="00061849"/>
    <w:rsid w:val="00062C4B"/>
    <w:rsid w:val="00064639"/>
    <w:rsid w:val="000668AB"/>
    <w:rsid w:val="00073D9D"/>
    <w:rsid w:val="00075EF2"/>
    <w:rsid w:val="00081B82"/>
    <w:rsid w:val="0009224A"/>
    <w:rsid w:val="00092404"/>
    <w:rsid w:val="0009408B"/>
    <w:rsid w:val="0009580F"/>
    <w:rsid w:val="000A0794"/>
    <w:rsid w:val="000A5014"/>
    <w:rsid w:val="000A7354"/>
    <w:rsid w:val="000B3654"/>
    <w:rsid w:val="000B6550"/>
    <w:rsid w:val="000C1FC4"/>
    <w:rsid w:val="000C5513"/>
    <w:rsid w:val="000F29F2"/>
    <w:rsid w:val="000F5F19"/>
    <w:rsid w:val="001039DF"/>
    <w:rsid w:val="00115B8E"/>
    <w:rsid w:val="001378C3"/>
    <w:rsid w:val="00146EEE"/>
    <w:rsid w:val="00153D5E"/>
    <w:rsid w:val="00157362"/>
    <w:rsid w:val="0016498A"/>
    <w:rsid w:val="00164A29"/>
    <w:rsid w:val="00164B8B"/>
    <w:rsid w:val="00172B91"/>
    <w:rsid w:val="00173EFB"/>
    <w:rsid w:val="00180534"/>
    <w:rsid w:val="00193D8C"/>
    <w:rsid w:val="001954D7"/>
    <w:rsid w:val="001A3D7C"/>
    <w:rsid w:val="001B2EE2"/>
    <w:rsid w:val="001B640F"/>
    <w:rsid w:val="001B78E6"/>
    <w:rsid w:val="001C2ABD"/>
    <w:rsid w:val="001D0C00"/>
    <w:rsid w:val="001D55F1"/>
    <w:rsid w:val="001D7AE5"/>
    <w:rsid w:val="001E2ECF"/>
    <w:rsid w:val="001F1068"/>
    <w:rsid w:val="001F4140"/>
    <w:rsid w:val="001F5353"/>
    <w:rsid w:val="001F6055"/>
    <w:rsid w:val="001F67A0"/>
    <w:rsid w:val="0020124F"/>
    <w:rsid w:val="002014E1"/>
    <w:rsid w:val="00205BD5"/>
    <w:rsid w:val="0021752F"/>
    <w:rsid w:val="0022005E"/>
    <w:rsid w:val="00221832"/>
    <w:rsid w:val="00223E82"/>
    <w:rsid w:val="00224F92"/>
    <w:rsid w:val="00234E60"/>
    <w:rsid w:val="00235FD4"/>
    <w:rsid w:val="00237460"/>
    <w:rsid w:val="00241047"/>
    <w:rsid w:val="00242249"/>
    <w:rsid w:val="0024268B"/>
    <w:rsid w:val="00245883"/>
    <w:rsid w:val="002719C8"/>
    <w:rsid w:val="0027482D"/>
    <w:rsid w:val="002916B9"/>
    <w:rsid w:val="0029342E"/>
    <w:rsid w:val="00293C6F"/>
    <w:rsid w:val="00297086"/>
    <w:rsid w:val="002970D0"/>
    <w:rsid w:val="002A1862"/>
    <w:rsid w:val="002A3184"/>
    <w:rsid w:val="002B367E"/>
    <w:rsid w:val="002C407C"/>
    <w:rsid w:val="002D4C7F"/>
    <w:rsid w:val="002E09B6"/>
    <w:rsid w:val="002E660E"/>
    <w:rsid w:val="002F01EB"/>
    <w:rsid w:val="002F66B8"/>
    <w:rsid w:val="002F676F"/>
    <w:rsid w:val="00300D0D"/>
    <w:rsid w:val="00300DF5"/>
    <w:rsid w:val="00304886"/>
    <w:rsid w:val="00305D73"/>
    <w:rsid w:val="00306878"/>
    <w:rsid w:val="00322C79"/>
    <w:rsid w:val="00341112"/>
    <w:rsid w:val="00344C06"/>
    <w:rsid w:val="00351995"/>
    <w:rsid w:val="00352131"/>
    <w:rsid w:val="00354E44"/>
    <w:rsid w:val="003564EA"/>
    <w:rsid w:val="003576AF"/>
    <w:rsid w:val="00357981"/>
    <w:rsid w:val="003608A9"/>
    <w:rsid w:val="00374301"/>
    <w:rsid w:val="0038215A"/>
    <w:rsid w:val="00382A58"/>
    <w:rsid w:val="0039424D"/>
    <w:rsid w:val="003A0AC4"/>
    <w:rsid w:val="003A4785"/>
    <w:rsid w:val="003A4D21"/>
    <w:rsid w:val="003A7FE6"/>
    <w:rsid w:val="003B10E2"/>
    <w:rsid w:val="003C32A7"/>
    <w:rsid w:val="003C4A9A"/>
    <w:rsid w:val="003F036C"/>
    <w:rsid w:val="003F14A1"/>
    <w:rsid w:val="003F28E8"/>
    <w:rsid w:val="00400C0A"/>
    <w:rsid w:val="0040196A"/>
    <w:rsid w:val="004050A1"/>
    <w:rsid w:val="00411954"/>
    <w:rsid w:val="00413F02"/>
    <w:rsid w:val="00415D0B"/>
    <w:rsid w:val="00417C3E"/>
    <w:rsid w:val="00423D98"/>
    <w:rsid w:val="00430402"/>
    <w:rsid w:val="00432AF0"/>
    <w:rsid w:val="004360EC"/>
    <w:rsid w:val="00436F80"/>
    <w:rsid w:val="00450692"/>
    <w:rsid w:val="0045783E"/>
    <w:rsid w:val="004631F0"/>
    <w:rsid w:val="004634E9"/>
    <w:rsid w:val="00465017"/>
    <w:rsid w:val="0047151F"/>
    <w:rsid w:val="00472E44"/>
    <w:rsid w:val="0047713E"/>
    <w:rsid w:val="004773F6"/>
    <w:rsid w:val="00480D58"/>
    <w:rsid w:val="00483637"/>
    <w:rsid w:val="00483A72"/>
    <w:rsid w:val="00485B39"/>
    <w:rsid w:val="00493C15"/>
    <w:rsid w:val="00495418"/>
    <w:rsid w:val="00496C74"/>
    <w:rsid w:val="004B2E99"/>
    <w:rsid w:val="004B2EA0"/>
    <w:rsid w:val="004D344A"/>
    <w:rsid w:val="004D4522"/>
    <w:rsid w:val="004D6547"/>
    <w:rsid w:val="004E15C6"/>
    <w:rsid w:val="004E594B"/>
    <w:rsid w:val="004F0BB2"/>
    <w:rsid w:val="004F1268"/>
    <w:rsid w:val="004F2AB0"/>
    <w:rsid w:val="004F76A0"/>
    <w:rsid w:val="0050230D"/>
    <w:rsid w:val="00521BC0"/>
    <w:rsid w:val="005263D6"/>
    <w:rsid w:val="0053021B"/>
    <w:rsid w:val="0053214E"/>
    <w:rsid w:val="00535902"/>
    <w:rsid w:val="00543F71"/>
    <w:rsid w:val="0054690E"/>
    <w:rsid w:val="005673EF"/>
    <w:rsid w:val="0057015D"/>
    <w:rsid w:val="00575B06"/>
    <w:rsid w:val="00584FD1"/>
    <w:rsid w:val="00590254"/>
    <w:rsid w:val="005C05FE"/>
    <w:rsid w:val="005C0F4D"/>
    <w:rsid w:val="005C5920"/>
    <w:rsid w:val="005D0EF0"/>
    <w:rsid w:val="005D3A7D"/>
    <w:rsid w:val="005D5567"/>
    <w:rsid w:val="005D7054"/>
    <w:rsid w:val="005E08B5"/>
    <w:rsid w:val="005E71D7"/>
    <w:rsid w:val="005F10E4"/>
    <w:rsid w:val="005F6859"/>
    <w:rsid w:val="00610FA5"/>
    <w:rsid w:val="00613A15"/>
    <w:rsid w:val="00617F74"/>
    <w:rsid w:val="00620865"/>
    <w:rsid w:val="00625055"/>
    <w:rsid w:val="00630D91"/>
    <w:rsid w:val="00632AA6"/>
    <w:rsid w:val="006339FC"/>
    <w:rsid w:val="0063571D"/>
    <w:rsid w:val="006516B4"/>
    <w:rsid w:val="00654BD3"/>
    <w:rsid w:val="00662A7B"/>
    <w:rsid w:val="00664F47"/>
    <w:rsid w:val="006666EA"/>
    <w:rsid w:val="00671FC0"/>
    <w:rsid w:val="00673209"/>
    <w:rsid w:val="00673F48"/>
    <w:rsid w:val="00674FF5"/>
    <w:rsid w:val="00676729"/>
    <w:rsid w:val="00680725"/>
    <w:rsid w:val="00681005"/>
    <w:rsid w:val="00685330"/>
    <w:rsid w:val="00686F7A"/>
    <w:rsid w:val="00690A24"/>
    <w:rsid w:val="006925CA"/>
    <w:rsid w:val="0069433D"/>
    <w:rsid w:val="006B3441"/>
    <w:rsid w:val="006C1F27"/>
    <w:rsid w:val="006C3290"/>
    <w:rsid w:val="006E3E99"/>
    <w:rsid w:val="006F3E84"/>
    <w:rsid w:val="006F6E2F"/>
    <w:rsid w:val="00703C22"/>
    <w:rsid w:val="00715751"/>
    <w:rsid w:val="00722956"/>
    <w:rsid w:val="00723017"/>
    <w:rsid w:val="00726FEE"/>
    <w:rsid w:val="00735B56"/>
    <w:rsid w:val="00741ACF"/>
    <w:rsid w:val="0074445B"/>
    <w:rsid w:val="00752B05"/>
    <w:rsid w:val="0075448C"/>
    <w:rsid w:val="0076118C"/>
    <w:rsid w:val="00761712"/>
    <w:rsid w:val="0076189E"/>
    <w:rsid w:val="007727D1"/>
    <w:rsid w:val="007776AD"/>
    <w:rsid w:val="00783C31"/>
    <w:rsid w:val="00790CC9"/>
    <w:rsid w:val="0079423F"/>
    <w:rsid w:val="007B0910"/>
    <w:rsid w:val="007B1541"/>
    <w:rsid w:val="007C795B"/>
    <w:rsid w:val="007D1C72"/>
    <w:rsid w:val="007D3AE3"/>
    <w:rsid w:val="007F41D0"/>
    <w:rsid w:val="00800A58"/>
    <w:rsid w:val="00804906"/>
    <w:rsid w:val="00822E33"/>
    <w:rsid w:val="00825759"/>
    <w:rsid w:val="0082677F"/>
    <w:rsid w:val="00841790"/>
    <w:rsid w:val="00844739"/>
    <w:rsid w:val="008509FD"/>
    <w:rsid w:val="008529B7"/>
    <w:rsid w:val="00856197"/>
    <w:rsid w:val="008561FF"/>
    <w:rsid w:val="0087139F"/>
    <w:rsid w:val="00874177"/>
    <w:rsid w:val="00877835"/>
    <w:rsid w:val="00877DEB"/>
    <w:rsid w:val="008940FE"/>
    <w:rsid w:val="0089686F"/>
    <w:rsid w:val="008A1E9F"/>
    <w:rsid w:val="008A782E"/>
    <w:rsid w:val="008B1DDC"/>
    <w:rsid w:val="008B2CDE"/>
    <w:rsid w:val="008B653A"/>
    <w:rsid w:val="008B7838"/>
    <w:rsid w:val="008C4A79"/>
    <w:rsid w:val="008D0CB4"/>
    <w:rsid w:val="008D7E16"/>
    <w:rsid w:val="008E6235"/>
    <w:rsid w:val="008F3F47"/>
    <w:rsid w:val="008F7838"/>
    <w:rsid w:val="00905AEF"/>
    <w:rsid w:val="009130B7"/>
    <w:rsid w:val="00923374"/>
    <w:rsid w:val="009260E0"/>
    <w:rsid w:val="00933EE1"/>
    <w:rsid w:val="0094522F"/>
    <w:rsid w:val="00947298"/>
    <w:rsid w:val="009556E7"/>
    <w:rsid w:val="00955E2F"/>
    <w:rsid w:val="00962D0A"/>
    <w:rsid w:val="00965889"/>
    <w:rsid w:val="00974A61"/>
    <w:rsid w:val="00975A35"/>
    <w:rsid w:val="00977B31"/>
    <w:rsid w:val="00982674"/>
    <w:rsid w:val="009839CC"/>
    <w:rsid w:val="00994D91"/>
    <w:rsid w:val="009A3356"/>
    <w:rsid w:val="009A41C7"/>
    <w:rsid w:val="009C09C2"/>
    <w:rsid w:val="009C4CE9"/>
    <w:rsid w:val="009C75C4"/>
    <w:rsid w:val="009D6A72"/>
    <w:rsid w:val="009D772A"/>
    <w:rsid w:val="009F08C6"/>
    <w:rsid w:val="009F266C"/>
    <w:rsid w:val="009F6899"/>
    <w:rsid w:val="009F7DB2"/>
    <w:rsid w:val="00A0576D"/>
    <w:rsid w:val="00A16BCC"/>
    <w:rsid w:val="00A177C5"/>
    <w:rsid w:val="00A21156"/>
    <w:rsid w:val="00A23A2E"/>
    <w:rsid w:val="00A309B5"/>
    <w:rsid w:val="00A32BB8"/>
    <w:rsid w:val="00A351CA"/>
    <w:rsid w:val="00A35C03"/>
    <w:rsid w:val="00A404AE"/>
    <w:rsid w:val="00A41136"/>
    <w:rsid w:val="00A45D77"/>
    <w:rsid w:val="00A5229F"/>
    <w:rsid w:val="00A566D1"/>
    <w:rsid w:val="00A60F45"/>
    <w:rsid w:val="00A665A7"/>
    <w:rsid w:val="00A707CF"/>
    <w:rsid w:val="00A72381"/>
    <w:rsid w:val="00A77B1E"/>
    <w:rsid w:val="00A80F85"/>
    <w:rsid w:val="00A873B4"/>
    <w:rsid w:val="00A874BD"/>
    <w:rsid w:val="00A87AF6"/>
    <w:rsid w:val="00A9303D"/>
    <w:rsid w:val="00AA26A0"/>
    <w:rsid w:val="00AA42C9"/>
    <w:rsid w:val="00AA5C63"/>
    <w:rsid w:val="00AA7F62"/>
    <w:rsid w:val="00AB0319"/>
    <w:rsid w:val="00AB2F7E"/>
    <w:rsid w:val="00AB3CB6"/>
    <w:rsid w:val="00AC32A5"/>
    <w:rsid w:val="00AC6FDA"/>
    <w:rsid w:val="00AC772E"/>
    <w:rsid w:val="00AE44A3"/>
    <w:rsid w:val="00AF146F"/>
    <w:rsid w:val="00AF4B45"/>
    <w:rsid w:val="00B01A64"/>
    <w:rsid w:val="00B10B98"/>
    <w:rsid w:val="00B14F08"/>
    <w:rsid w:val="00B15F4E"/>
    <w:rsid w:val="00B17C0B"/>
    <w:rsid w:val="00B25F9B"/>
    <w:rsid w:val="00B26F9E"/>
    <w:rsid w:val="00B322A5"/>
    <w:rsid w:val="00B648E3"/>
    <w:rsid w:val="00B66E4E"/>
    <w:rsid w:val="00B71567"/>
    <w:rsid w:val="00B83B6E"/>
    <w:rsid w:val="00B86A70"/>
    <w:rsid w:val="00B902CD"/>
    <w:rsid w:val="00B90622"/>
    <w:rsid w:val="00B917E6"/>
    <w:rsid w:val="00B93B91"/>
    <w:rsid w:val="00BA0641"/>
    <w:rsid w:val="00BA1609"/>
    <w:rsid w:val="00BA3090"/>
    <w:rsid w:val="00BA6D51"/>
    <w:rsid w:val="00BB386F"/>
    <w:rsid w:val="00BB3CC8"/>
    <w:rsid w:val="00BD113F"/>
    <w:rsid w:val="00BD13B1"/>
    <w:rsid w:val="00BD4F65"/>
    <w:rsid w:val="00BE1426"/>
    <w:rsid w:val="00BE19C0"/>
    <w:rsid w:val="00BE34F8"/>
    <w:rsid w:val="00BE51EF"/>
    <w:rsid w:val="00BF12CE"/>
    <w:rsid w:val="00BF6936"/>
    <w:rsid w:val="00C033FA"/>
    <w:rsid w:val="00C0355F"/>
    <w:rsid w:val="00C13BE8"/>
    <w:rsid w:val="00C14DC5"/>
    <w:rsid w:val="00C21113"/>
    <w:rsid w:val="00C242CC"/>
    <w:rsid w:val="00C24EC4"/>
    <w:rsid w:val="00C318C8"/>
    <w:rsid w:val="00C35693"/>
    <w:rsid w:val="00C40F46"/>
    <w:rsid w:val="00C47338"/>
    <w:rsid w:val="00C500A1"/>
    <w:rsid w:val="00C5042D"/>
    <w:rsid w:val="00C515E2"/>
    <w:rsid w:val="00C51F5A"/>
    <w:rsid w:val="00C548C1"/>
    <w:rsid w:val="00C709E6"/>
    <w:rsid w:val="00C7704E"/>
    <w:rsid w:val="00C80A87"/>
    <w:rsid w:val="00C8396A"/>
    <w:rsid w:val="00C86F59"/>
    <w:rsid w:val="00C91CF7"/>
    <w:rsid w:val="00CC11B5"/>
    <w:rsid w:val="00CC1F85"/>
    <w:rsid w:val="00CC5D0C"/>
    <w:rsid w:val="00CC6687"/>
    <w:rsid w:val="00CD04EE"/>
    <w:rsid w:val="00CE229F"/>
    <w:rsid w:val="00CF19B6"/>
    <w:rsid w:val="00CF1C3C"/>
    <w:rsid w:val="00CF2D8B"/>
    <w:rsid w:val="00D065FE"/>
    <w:rsid w:val="00D07A38"/>
    <w:rsid w:val="00D12D52"/>
    <w:rsid w:val="00D13D34"/>
    <w:rsid w:val="00D166EC"/>
    <w:rsid w:val="00D24196"/>
    <w:rsid w:val="00D30DD0"/>
    <w:rsid w:val="00D36956"/>
    <w:rsid w:val="00D406F9"/>
    <w:rsid w:val="00D5674D"/>
    <w:rsid w:val="00D57E83"/>
    <w:rsid w:val="00D638D6"/>
    <w:rsid w:val="00D72401"/>
    <w:rsid w:val="00D7465E"/>
    <w:rsid w:val="00D75339"/>
    <w:rsid w:val="00D76032"/>
    <w:rsid w:val="00D821E5"/>
    <w:rsid w:val="00D8249C"/>
    <w:rsid w:val="00D8522D"/>
    <w:rsid w:val="00D9406B"/>
    <w:rsid w:val="00D9432E"/>
    <w:rsid w:val="00D94379"/>
    <w:rsid w:val="00D9503C"/>
    <w:rsid w:val="00DA1C49"/>
    <w:rsid w:val="00DA26E1"/>
    <w:rsid w:val="00DA60FF"/>
    <w:rsid w:val="00DD7D9B"/>
    <w:rsid w:val="00DE3072"/>
    <w:rsid w:val="00DF2DDC"/>
    <w:rsid w:val="00E045BC"/>
    <w:rsid w:val="00E17C3A"/>
    <w:rsid w:val="00E22F50"/>
    <w:rsid w:val="00E26E0E"/>
    <w:rsid w:val="00E33543"/>
    <w:rsid w:val="00E34693"/>
    <w:rsid w:val="00E424FC"/>
    <w:rsid w:val="00E437E5"/>
    <w:rsid w:val="00E519B5"/>
    <w:rsid w:val="00E53E66"/>
    <w:rsid w:val="00E620A9"/>
    <w:rsid w:val="00E634A3"/>
    <w:rsid w:val="00E6408B"/>
    <w:rsid w:val="00E64468"/>
    <w:rsid w:val="00E67E6D"/>
    <w:rsid w:val="00E742B8"/>
    <w:rsid w:val="00E84399"/>
    <w:rsid w:val="00E86B80"/>
    <w:rsid w:val="00E94E50"/>
    <w:rsid w:val="00E9592F"/>
    <w:rsid w:val="00EA24EF"/>
    <w:rsid w:val="00EC58CB"/>
    <w:rsid w:val="00EC7324"/>
    <w:rsid w:val="00EC7540"/>
    <w:rsid w:val="00ED49E0"/>
    <w:rsid w:val="00ED589A"/>
    <w:rsid w:val="00EE030E"/>
    <w:rsid w:val="00EE606B"/>
    <w:rsid w:val="00EF211A"/>
    <w:rsid w:val="00F165A4"/>
    <w:rsid w:val="00F32130"/>
    <w:rsid w:val="00F36AED"/>
    <w:rsid w:val="00F37FB7"/>
    <w:rsid w:val="00F560EB"/>
    <w:rsid w:val="00F601AD"/>
    <w:rsid w:val="00F631DE"/>
    <w:rsid w:val="00F70EFB"/>
    <w:rsid w:val="00F76041"/>
    <w:rsid w:val="00F91150"/>
    <w:rsid w:val="00F929E9"/>
    <w:rsid w:val="00F92CFF"/>
    <w:rsid w:val="00FB24D7"/>
    <w:rsid w:val="00FB3D5A"/>
    <w:rsid w:val="00FB423A"/>
    <w:rsid w:val="00FC0FFF"/>
    <w:rsid w:val="00FC5CF6"/>
    <w:rsid w:val="00FD442C"/>
    <w:rsid w:val="00FE3AA6"/>
    <w:rsid w:val="00FE42FD"/>
    <w:rsid w:val="00FE4B3C"/>
    <w:rsid w:val="00FF6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0FD"/>
  <w15:chartTrackingRefBased/>
  <w15:docId w15:val="{33229AC5-673B-4D47-A3FE-CBAC955BB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0D0D"/>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430402"/>
    <w:pPr>
      <w:tabs>
        <w:tab w:val="center" w:pos="4680"/>
        <w:tab w:val="right" w:pos="9360"/>
      </w:tabs>
    </w:pPr>
  </w:style>
  <w:style w:type="character" w:customStyle="1" w:styleId="FooterChar">
    <w:name w:val="Footer Char"/>
    <w:basedOn w:val="DefaultParagraphFont"/>
    <w:link w:val="Footer"/>
    <w:uiPriority w:val="99"/>
    <w:rsid w:val="00430402"/>
  </w:style>
  <w:style w:type="character" w:styleId="PageNumber">
    <w:name w:val="page number"/>
    <w:basedOn w:val="DefaultParagraphFont"/>
    <w:uiPriority w:val="99"/>
    <w:semiHidden/>
    <w:unhideWhenUsed/>
    <w:rsid w:val="00430402"/>
  </w:style>
  <w:style w:type="paragraph" w:styleId="Header">
    <w:name w:val="header"/>
    <w:basedOn w:val="Normal"/>
    <w:link w:val="HeaderChar"/>
    <w:uiPriority w:val="99"/>
    <w:unhideWhenUsed/>
    <w:rsid w:val="00430402"/>
    <w:pPr>
      <w:tabs>
        <w:tab w:val="center" w:pos="4680"/>
        <w:tab w:val="right" w:pos="9360"/>
      </w:tabs>
    </w:pPr>
  </w:style>
  <w:style w:type="character" w:customStyle="1" w:styleId="HeaderChar">
    <w:name w:val="Header Char"/>
    <w:basedOn w:val="DefaultParagraphFont"/>
    <w:link w:val="Header"/>
    <w:uiPriority w:val="99"/>
    <w:rsid w:val="00430402"/>
  </w:style>
  <w:style w:type="paragraph" w:styleId="BalloonText">
    <w:name w:val="Balloon Text"/>
    <w:basedOn w:val="Normal"/>
    <w:link w:val="BalloonTextChar"/>
    <w:uiPriority w:val="99"/>
    <w:semiHidden/>
    <w:unhideWhenUsed/>
    <w:rsid w:val="00BE51E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E51EF"/>
    <w:rPr>
      <w:rFonts w:ascii="Times New Roman" w:hAnsi="Times New Roman" w:cs="Times New Roman"/>
      <w:sz w:val="18"/>
      <w:szCs w:val="18"/>
    </w:rPr>
  </w:style>
  <w:style w:type="table" w:styleId="TableGrid">
    <w:name w:val="Table Grid"/>
    <w:basedOn w:val="TableNormal"/>
    <w:uiPriority w:val="39"/>
    <w:rsid w:val="00235F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354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012661">
      <w:bodyDiv w:val="1"/>
      <w:marLeft w:val="0"/>
      <w:marRight w:val="0"/>
      <w:marTop w:val="0"/>
      <w:marBottom w:val="0"/>
      <w:divBdr>
        <w:top w:val="none" w:sz="0" w:space="0" w:color="auto"/>
        <w:left w:val="none" w:sz="0" w:space="0" w:color="auto"/>
        <w:bottom w:val="none" w:sz="0" w:space="0" w:color="auto"/>
        <w:right w:val="none" w:sz="0" w:space="0" w:color="auto"/>
      </w:divBdr>
    </w:div>
    <w:div w:id="143205551">
      <w:bodyDiv w:val="1"/>
      <w:marLeft w:val="0"/>
      <w:marRight w:val="0"/>
      <w:marTop w:val="0"/>
      <w:marBottom w:val="0"/>
      <w:divBdr>
        <w:top w:val="none" w:sz="0" w:space="0" w:color="auto"/>
        <w:left w:val="none" w:sz="0" w:space="0" w:color="auto"/>
        <w:bottom w:val="none" w:sz="0" w:space="0" w:color="auto"/>
        <w:right w:val="none" w:sz="0" w:space="0" w:color="auto"/>
      </w:divBdr>
    </w:div>
    <w:div w:id="475531649">
      <w:bodyDiv w:val="1"/>
      <w:marLeft w:val="0"/>
      <w:marRight w:val="0"/>
      <w:marTop w:val="0"/>
      <w:marBottom w:val="0"/>
      <w:divBdr>
        <w:top w:val="none" w:sz="0" w:space="0" w:color="auto"/>
        <w:left w:val="none" w:sz="0" w:space="0" w:color="auto"/>
        <w:bottom w:val="none" w:sz="0" w:space="0" w:color="auto"/>
        <w:right w:val="none" w:sz="0" w:space="0" w:color="auto"/>
      </w:divBdr>
    </w:div>
    <w:div w:id="532229776">
      <w:bodyDiv w:val="1"/>
      <w:marLeft w:val="0"/>
      <w:marRight w:val="0"/>
      <w:marTop w:val="0"/>
      <w:marBottom w:val="0"/>
      <w:divBdr>
        <w:top w:val="none" w:sz="0" w:space="0" w:color="auto"/>
        <w:left w:val="none" w:sz="0" w:space="0" w:color="auto"/>
        <w:bottom w:val="none" w:sz="0" w:space="0" w:color="auto"/>
        <w:right w:val="none" w:sz="0" w:space="0" w:color="auto"/>
      </w:divBdr>
    </w:div>
    <w:div w:id="805439526">
      <w:bodyDiv w:val="1"/>
      <w:marLeft w:val="0"/>
      <w:marRight w:val="0"/>
      <w:marTop w:val="0"/>
      <w:marBottom w:val="0"/>
      <w:divBdr>
        <w:top w:val="none" w:sz="0" w:space="0" w:color="auto"/>
        <w:left w:val="none" w:sz="0" w:space="0" w:color="auto"/>
        <w:bottom w:val="none" w:sz="0" w:space="0" w:color="auto"/>
        <w:right w:val="none" w:sz="0" w:space="0" w:color="auto"/>
      </w:divBdr>
    </w:div>
    <w:div w:id="820583598">
      <w:bodyDiv w:val="1"/>
      <w:marLeft w:val="0"/>
      <w:marRight w:val="0"/>
      <w:marTop w:val="0"/>
      <w:marBottom w:val="0"/>
      <w:divBdr>
        <w:top w:val="none" w:sz="0" w:space="0" w:color="auto"/>
        <w:left w:val="none" w:sz="0" w:space="0" w:color="auto"/>
        <w:bottom w:val="none" w:sz="0" w:space="0" w:color="auto"/>
        <w:right w:val="none" w:sz="0" w:space="0" w:color="auto"/>
      </w:divBdr>
    </w:div>
    <w:div w:id="893589374">
      <w:bodyDiv w:val="1"/>
      <w:marLeft w:val="0"/>
      <w:marRight w:val="0"/>
      <w:marTop w:val="0"/>
      <w:marBottom w:val="0"/>
      <w:divBdr>
        <w:top w:val="none" w:sz="0" w:space="0" w:color="auto"/>
        <w:left w:val="none" w:sz="0" w:space="0" w:color="auto"/>
        <w:bottom w:val="none" w:sz="0" w:space="0" w:color="auto"/>
        <w:right w:val="none" w:sz="0" w:space="0" w:color="auto"/>
      </w:divBdr>
      <w:divsChild>
        <w:div w:id="753555987">
          <w:marLeft w:val="0"/>
          <w:marRight w:val="0"/>
          <w:marTop w:val="0"/>
          <w:marBottom w:val="0"/>
          <w:divBdr>
            <w:top w:val="none" w:sz="0" w:space="0" w:color="auto"/>
            <w:left w:val="none" w:sz="0" w:space="0" w:color="auto"/>
            <w:bottom w:val="none" w:sz="0" w:space="0" w:color="auto"/>
            <w:right w:val="none" w:sz="0" w:space="0" w:color="auto"/>
          </w:divBdr>
          <w:divsChild>
            <w:div w:id="162165032">
              <w:marLeft w:val="0"/>
              <w:marRight w:val="0"/>
              <w:marTop w:val="0"/>
              <w:marBottom w:val="0"/>
              <w:divBdr>
                <w:top w:val="none" w:sz="0" w:space="0" w:color="auto"/>
                <w:left w:val="none" w:sz="0" w:space="0" w:color="auto"/>
                <w:bottom w:val="none" w:sz="0" w:space="0" w:color="auto"/>
                <w:right w:val="none" w:sz="0" w:space="0" w:color="auto"/>
              </w:divBdr>
              <w:divsChild>
                <w:div w:id="60476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43441">
      <w:bodyDiv w:val="1"/>
      <w:marLeft w:val="0"/>
      <w:marRight w:val="0"/>
      <w:marTop w:val="0"/>
      <w:marBottom w:val="0"/>
      <w:divBdr>
        <w:top w:val="none" w:sz="0" w:space="0" w:color="auto"/>
        <w:left w:val="none" w:sz="0" w:space="0" w:color="auto"/>
        <w:bottom w:val="none" w:sz="0" w:space="0" w:color="auto"/>
        <w:right w:val="none" w:sz="0" w:space="0" w:color="auto"/>
      </w:divBdr>
    </w:div>
    <w:div w:id="1139298001">
      <w:bodyDiv w:val="1"/>
      <w:marLeft w:val="0"/>
      <w:marRight w:val="0"/>
      <w:marTop w:val="0"/>
      <w:marBottom w:val="0"/>
      <w:divBdr>
        <w:top w:val="none" w:sz="0" w:space="0" w:color="auto"/>
        <w:left w:val="none" w:sz="0" w:space="0" w:color="auto"/>
        <w:bottom w:val="none" w:sz="0" w:space="0" w:color="auto"/>
        <w:right w:val="none" w:sz="0" w:space="0" w:color="auto"/>
      </w:divBdr>
    </w:div>
    <w:div w:id="1298485188">
      <w:bodyDiv w:val="1"/>
      <w:marLeft w:val="0"/>
      <w:marRight w:val="0"/>
      <w:marTop w:val="0"/>
      <w:marBottom w:val="0"/>
      <w:divBdr>
        <w:top w:val="none" w:sz="0" w:space="0" w:color="auto"/>
        <w:left w:val="none" w:sz="0" w:space="0" w:color="auto"/>
        <w:bottom w:val="none" w:sz="0" w:space="0" w:color="auto"/>
        <w:right w:val="none" w:sz="0" w:space="0" w:color="auto"/>
      </w:divBdr>
    </w:div>
    <w:div w:id="1353453403">
      <w:bodyDiv w:val="1"/>
      <w:marLeft w:val="0"/>
      <w:marRight w:val="0"/>
      <w:marTop w:val="0"/>
      <w:marBottom w:val="0"/>
      <w:divBdr>
        <w:top w:val="none" w:sz="0" w:space="0" w:color="auto"/>
        <w:left w:val="none" w:sz="0" w:space="0" w:color="auto"/>
        <w:bottom w:val="none" w:sz="0" w:space="0" w:color="auto"/>
        <w:right w:val="none" w:sz="0" w:space="0" w:color="auto"/>
      </w:divBdr>
    </w:div>
    <w:div w:id="1607885346">
      <w:bodyDiv w:val="1"/>
      <w:marLeft w:val="0"/>
      <w:marRight w:val="0"/>
      <w:marTop w:val="0"/>
      <w:marBottom w:val="0"/>
      <w:divBdr>
        <w:top w:val="none" w:sz="0" w:space="0" w:color="auto"/>
        <w:left w:val="none" w:sz="0" w:space="0" w:color="auto"/>
        <w:bottom w:val="none" w:sz="0" w:space="0" w:color="auto"/>
        <w:right w:val="none" w:sz="0" w:space="0" w:color="auto"/>
      </w:divBdr>
    </w:div>
    <w:div w:id="1629432751">
      <w:bodyDiv w:val="1"/>
      <w:marLeft w:val="0"/>
      <w:marRight w:val="0"/>
      <w:marTop w:val="0"/>
      <w:marBottom w:val="0"/>
      <w:divBdr>
        <w:top w:val="none" w:sz="0" w:space="0" w:color="auto"/>
        <w:left w:val="none" w:sz="0" w:space="0" w:color="auto"/>
        <w:bottom w:val="none" w:sz="0" w:space="0" w:color="auto"/>
        <w:right w:val="none" w:sz="0" w:space="0" w:color="auto"/>
      </w:divBdr>
    </w:div>
    <w:div w:id="1656447302">
      <w:bodyDiv w:val="1"/>
      <w:marLeft w:val="0"/>
      <w:marRight w:val="0"/>
      <w:marTop w:val="0"/>
      <w:marBottom w:val="0"/>
      <w:divBdr>
        <w:top w:val="none" w:sz="0" w:space="0" w:color="auto"/>
        <w:left w:val="none" w:sz="0" w:space="0" w:color="auto"/>
        <w:bottom w:val="none" w:sz="0" w:space="0" w:color="auto"/>
        <w:right w:val="none" w:sz="0" w:space="0" w:color="auto"/>
      </w:divBdr>
    </w:div>
    <w:div w:id="1702898720">
      <w:bodyDiv w:val="1"/>
      <w:marLeft w:val="0"/>
      <w:marRight w:val="0"/>
      <w:marTop w:val="0"/>
      <w:marBottom w:val="0"/>
      <w:divBdr>
        <w:top w:val="none" w:sz="0" w:space="0" w:color="auto"/>
        <w:left w:val="none" w:sz="0" w:space="0" w:color="auto"/>
        <w:bottom w:val="none" w:sz="0" w:space="0" w:color="auto"/>
        <w:right w:val="none" w:sz="0" w:space="0" w:color="auto"/>
      </w:divBdr>
    </w:div>
    <w:div w:id="1831410891">
      <w:bodyDiv w:val="1"/>
      <w:marLeft w:val="0"/>
      <w:marRight w:val="0"/>
      <w:marTop w:val="0"/>
      <w:marBottom w:val="0"/>
      <w:divBdr>
        <w:top w:val="none" w:sz="0" w:space="0" w:color="auto"/>
        <w:left w:val="none" w:sz="0" w:space="0" w:color="auto"/>
        <w:bottom w:val="none" w:sz="0" w:space="0" w:color="auto"/>
        <w:right w:val="none" w:sz="0" w:space="0" w:color="auto"/>
      </w:divBdr>
    </w:div>
    <w:div w:id="1947075100">
      <w:bodyDiv w:val="1"/>
      <w:marLeft w:val="0"/>
      <w:marRight w:val="0"/>
      <w:marTop w:val="0"/>
      <w:marBottom w:val="0"/>
      <w:divBdr>
        <w:top w:val="none" w:sz="0" w:space="0" w:color="auto"/>
        <w:left w:val="none" w:sz="0" w:space="0" w:color="auto"/>
        <w:bottom w:val="none" w:sz="0" w:space="0" w:color="auto"/>
        <w:right w:val="none" w:sz="0" w:space="0" w:color="auto"/>
      </w:divBdr>
    </w:div>
    <w:div w:id="209277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9" Type="http://schemas.openxmlformats.org/officeDocument/2006/relationships/footer" Target="footer3.xml"/><Relationship Id="rId3" Type="http://schemas.openxmlformats.org/officeDocument/2006/relationships/webSettings" Target="webSettings.xml"/><Relationship Id="rId34" Type="http://schemas.openxmlformats.org/officeDocument/2006/relationships/header" Target="header1.xml"/><Relationship Id="rId33" Type="http://schemas.openxmlformats.org/officeDocument/2006/relationships/image" Target="media/image140.png"/><Relationship Id="rId38" Type="http://schemas.openxmlformats.org/officeDocument/2006/relationships/header" Target="header3.xml"/><Relationship Id="rId2" Type="http://schemas.openxmlformats.org/officeDocument/2006/relationships/settings" Target="settings.xm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endnotes" Target="endnotes.xml"/><Relationship Id="rId36" Type="http://schemas.openxmlformats.org/officeDocument/2006/relationships/footer" Target="footer1.xml"/><Relationship Id="rId4" Type="http://schemas.openxmlformats.org/officeDocument/2006/relationships/footnotes" Target="footnotes.xm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771</Words>
  <Characters>4398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Gardella, Thomas J.</dc:creator>
  <cp:keywords/>
  <dc:description/>
  <cp:lastModifiedBy>Gardella, Thomas J.</cp:lastModifiedBy>
  <cp:revision>7</cp:revision>
  <cp:lastPrinted>2020-10-16T16:35:00Z</cp:lastPrinted>
  <dcterms:created xsi:type="dcterms:W3CDTF">2020-11-13T17:24:00Z</dcterms:created>
  <dcterms:modified xsi:type="dcterms:W3CDTF">2020-11-13T18:08:00Z</dcterms:modified>
</cp:coreProperties>
</file>