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28" w:rsidRPr="00B36028" w:rsidRDefault="00B36028" w:rsidP="00B36028">
      <w:pPr>
        <w:pStyle w:val="Heading1"/>
        <w:rPr>
          <w:rFonts w:ascii="Arial" w:hAnsi="Arial" w:cs="Arial"/>
        </w:rPr>
      </w:pPr>
      <w:r w:rsidRPr="00B36028">
        <w:rPr>
          <w:rFonts w:ascii="Arial" w:hAnsi="Arial" w:cs="Arial"/>
        </w:rPr>
        <w:t xml:space="preserve">Supplementary </w:t>
      </w:r>
      <w:r w:rsidRPr="00B36028">
        <w:rPr>
          <w:rFonts w:ascii="Arial" w:hAnsi="Arial" w:cs="Arial"/>
        </w:rPr>
        <w:t xml:space="preserve">Table 1. Common Infantile and Pediatric </w:t>
      </w:r>
      <w:proofErr w:type="spellStart"/>
      <w:r w:rsidRPr="00B36028">
        <w:rPr>
          <w:rFonts w:ascii="Arial" w:hAnsi="Arial" w:cs="Arial"/>
        </w:rPr>
        <w:t>Leukodystrophies</w:t>
      </w:r>
      <w:proofErr w:type="spellEnd"/>
    </w:p>
    <w:tbl>
      <w:tblPr>
        <w:tblStyle w:val="TableGrid"/>
        <w:tblW w:w="0" w:type="auto"/>
        <w:tblLook w:val="04A0" w:firstRow="1" w:lastRow="0" w:firstColumn="1" w:lastColumn="0" w:noHBand="0" w:noVBand="1"/>
      </w:tblPr>
      <w:tblGrid>
        <w:gridCol w:w="2659"/>
        <w:gridCol w:w="2330"/>
        <w:gridCol w:w="2127"/>
        <w:gridCol w:w="2234"/>
      </w:tblGrid>
      <w:tr w:rsidR="00B36028" w:rsidRPr="00B36028" w:rsidTr="00D34527">
        <w:tc>
          <w:tcPr>
            <w:tcW w:w="2659" w:type="dxa"/>
          </w:tcPr>
          <w:p w:rsidR="00B36028" w:rsidRPr="00B36028" w:rsidRDefault="00B36028" w:rsidP="00D34527">
            <w:pPr>
              <w:rPr>
                <w:rFonts w:ascii="Arial" w:hAnsi="Arial" w:cs="Arial"/>
              </w:rPr>
            </w:pPr>
          </w:p>
        </w:tc>
        <w:tc>
          <w:tcPr>
            <w:tcW w:w="2330" w:type="dxa"/>
          </w:tcPr>
          <w:p w:rsidR="00B36028" w:rsidRPr="00B36028" w:rsidRDefault="00B36028" w:rsidP="00D34527">
            <w:pPr>
              <w:rPr>
                <w:rFonts w:ascii="Arial" w:hAnsi="Arial" w:cs="Arial"/>
              </w:rPr>
            </w:pPr>
            <w:r w:rsidRPr="00B36028">
              <w:rPr>
                <w:rFonts w:ascii="Arial" w:hAnsi="Arial" w:cs="Arial"/>
              </w:rPr>
              <w:t>Pathophysiology</w:t>
            </w:r>
          </w:p>
        </w:tc>
        <w:tc>
          <w:tcPr>
            <w:tcW w:w="2127" w:type="dxa"/>
          </w:tcPr>
          <w:p w:rsidR="00B36028" w:rsidRPr="00B36028" w:rsidRDefault="00B36028" w:rsidP="00D34527">
            <w:pPr>
              <w:rPr>
                <w:rFonts w:ascii="Arial" w:hAnsi="Arial" w:cs="Arial"/>
              </w:rPr>
            </w:pPr>
            <w:r w:rsidRPr="00B36028">
              <w:rPr>
                <w:rFonts w:ascii="Arial" w:hAnsi="Arial" w:cs="Arial"/>
              </w:rPr>
              <w:t>Diagnosis</w:t>
            </w:r>
          </w:p>
        </w:tc>
        <w:tc>
          <w:tcPr>
            <w:tcW w:w="2234" w:type="dxa"/>
          </w:tcPr>
          <w:p w:rsidR="00B36028" w:rsidRPr="00B36028" w:rsidRDefault="00B36028" w:rsidP="00D34527">
            <w:pPr>
              <w:rPr>
                <w:rFonts w:ascii="Arial" w:hAnsi="Arial" w:cs="Arial"/>
              </w:rPr>
            </w:pPr>
            <w:r w:rsidRPr="00B36028">
              <w:rPr>
                <w:rFonts w:ascii="Arial" w:hAnsi="Arial" w:cs="Arial"/>
              </w:rPr>
              <w:t>Clinical manifestations</w:t>
            </w:r>
          </w:p>
        </w:tc>
      </w:tr>
      <w:tr w:rsidR="00B36028" w:rsidRPr="00B36028" w:rsidTr="00D34527">
        <w:tc>
          <w:tcPr>
            <w:tcW w:w="2659" w:type="dxa"/>
          </w:tcPr>
          <w:p w:rsidR="00B36028" w:rsidRPr="00B36028" w:rsidRDefault="00B36028" w:rsidP="00B36028">
            <w:pPr>
              <w:rPr>
                <w:rFonts w:ascii="Arial" w:hAnsi="Arial" w:cs="Arial"/>
              </w:rPr>
            </w:pPr>
            <w:proofErr w:type="spellStart"/>
            <w:r w:rsidRPr="00B36028">
              <w:rPr>
                <w:rFonts w:ascii="Arial" w:hAnsi="Arial" w:cs="Arial"/>
              </w:rPr>
              <w:t>Krabbe</w:t>
            </w:r>
            <w:proofErr w:type="spellEnd"/>
            <w:r w:rsidRPr="00B36028">
              <w:rPr>
                <w:rFonts w:ascii="Arial" w:hAnsi="Arial" w:cs="Arial"/>
              </w:rPr>
              <w:t xml:space="preserve"> disease* (globoid cell </w:t>
            </w:r>
            <w:proofErr w:type="spellStart"/>
            <w:r w:rsidRPr="00B36028">
              <w:rPr>
                <w:rFonts w:ascii="Arial" w:hAnsi="Arial" w:cs="Arial"/>
              </w:rPr>
              <w:t>leukodystrophy</w:t>
            </w:r>
            <w:proofErr w:type="spellEnd"/>
            <w:r w:rsidRPr="00B36028">
              <w:rPr>
                <w:rFonts w:ascii="Arial" w:hAnsi="Arial" w:cs="Arial"/>
              </w:rPr>
              <w:t>)</w:t>
            </w:r>
            <w:r w:rsidRPr="00B36028">
              <w:rPr>
                <w:rFonts w:ascii="Arial" w:hAnsi="Arial" w:cs="Arial"/>
              </w:rPr>
              <w:fldChar w:fldCharType="begin" w:fldLock="1"/>
            </w:r>
            <w:r w:rsidRPr="00B36028">
              <w:rPr>
                <w:rFonts w:ascii="Arial" w:hAnsi="Arial" w:cs="Arial"/>
              </w:rPr>
              <w:instrText>ADDIN CSL_CITATION {"citationItems":[{"id":"ITEM-1","itemData":{"PMID":"20301416","abstract":"CLINICAL CHARACTERISTICS Krabbe disease comprises a spectrum ranging from infantile-onset disease (i.e., onset of extreme irritability, spasticity, and developmental delay before age 12 months) to later-onset disease (i.e., onset of manifestations after age 12 months and as late as the seventh decade). Although historically 85%-90% of symptomatic individuals with Krabbe disease diagnosed by enzyme activity alone have infantile-onset Krabbe disease and 10%-15% have later-onset Krabbe disease, the experience with newborn screening (NBS) suggests that the proportion of individuals with possible later-onset Krabbe disease is higher than previously thought. Infantile-onset Krabbe disease is characterized by normal development in the first few months followed by rapid severe neurologic deterioration; the average age of death is 24 months (range 8 months to 9 years). Later-onset Krabbe disease is much more variable in its presentation and disease course. DIAGNOSIS/TESTING The two diagnostic scenarios are the following: Scenario 1. The diagnosis of Krabbe disease, suspected in a symptomatic proband based on clinical findings (by age) and other supportive laboratory, neuroimaging, and electrophysiologic findings, is established by detection of deficient GALC enzyme activity in leukocytes. Abnormal results require follow-up molecular genetic testing of GALC; elevated psychosine levels can also help establish the diagnosis. Scenario 2. In an asymptomatic newborn with low GALC enzyme activity on dried blood spot specimens on NBS urgent time-critical measurement of blood psychosine levels and GALC molecular genetic testing is necessary to identify – before age 14 days – those newborns with evidence of infantile-onset Krabbe disease who are candidates for early treatment with hematopoietic stem cell transplantation (HSCT). MANAGEMENT Treatment of manifestations: Treatment of a child who is symptomatic before age six months is supportive and focused on increasing the quality of life and avoiding complications. For older individuals, treatment with HSCT is individualized based on disease burden and manifestations. Prevention of primary manifestations: Consensus guidelines recommend that asymptomatic newborns identified by either prenatal/neonatal evaluation because of a positive family history of Krabbe disease or an abnormal NBS result undergo additional testing to identify those with infantile-onset Krabbe disease. Those with laboratory findings consistent with infan…","author":[{"dropping-particle":"","family":"Orsini","given":"Joseph J","non-dropping-particle":"","parse-names":false,"suffix":""},{"dropping-particle":"","family":"Escolar","given":"Maria L","non-dropping-particle":"","parse-names":false,"suffix":""},{"dropping-particle":"","family":"Wasserstein","given":"Melissa P","non-dropping-particle":"","parse-names":false,"suffix":""},{"dropping-particle":"","family":"Caggana","given":"Michele","non-dropping-particle":"","parse-names":false,"suffix":""}],"container-title":"GeneReviews","id":"ITEM-1","issued":{"date-parts":[["2018","10","11"]]},"title":"Krabbe Disease","type":"book"},"uris":["http://www.mendeley.com/documents/?uuid=50eb9982-384f-363a-8dbe-165bbb25bae1"]}],"mendeley":{"formattedCitation":"&lt;sup&gt;1&lt;/sup&gt;","plainTextFormattedCitation":"1","previouslyFormattedCitation":"&lt;sup&gt;14&lt;/sup&gt;"},"properties":{"noteIndex":0},"schema":"https://github.com/citation-style-language/schema/raw/master/csl-citation.json"}</w:instrText>
            </w:r>
            <w:r w:rsidRPr="00B36028">
              <w:rPr>
                <w:rFonts w:ascii="Arial" w:hAnsi="Arial" w:cs="Arial"/>
              </w:rPr>
              <w:fldChar w:fldCharType="separate"/>
            </w:r>
            <w:r w:rsidRPr="00B36028">
              <w:rPr>
                <w:rFonts w:ascii="Arial" w:hAnsi="Arial" w:cs="Arial"/>
                <w:noProof/>
                <w:vertAlign w:val="superscript"/>
              </w:rPr>
              <w:t>1</w:t>
            </w:r>
            <w:r w:rsidRPr="00B36028">
              <w:rPr>
                <w:rFonts w:ascii="Arial" w:hAnsi="Arial" w:cs="Arial"/>
              </w:rPr>
              <w:fldChar w:fldCharType="end"/>
            </w:r>
            <w:r w:rsidRPr="00B36028">
              <w:rPr>
                <w:rFonts w:ascii="Arial" w:hAnsi="Arial" w:cs="Arial"/>
              </w:rPr>
              <w:t xml:space="preserve"> </w:t>
            </w:r>
          </w:p>
        </w:tc>
        <w:tc>
          <w:tcPr>
            <w:tcW w:w="2330" w:type="dxa"/>
          </w:tcPr>
          <w:p w:rsidR="00B36028" w:rsidRPr="00B36028" w:rsidRDefault="00B36028" w:rsidP="00D34527">
            <w:pPr>
              <w:rPr>
                <w:rFonts w:ascii="Arial" w:hAnsi="Arial" w:cs="Arial"/>
              </w:rPr>
            </w:pPr>
            <w:r w:rsidRPr="00B36028">
              <w:rPr>
                <w:rFonts w:ascii="Arial" w:hAnsi="Arial" w:cs="Arial"/>
              </w:rPr>
              <w:t xml:space="preserve">Lysosomal storage disorder: Deficiency of the enzyme </w:t>
            </w:r>
            <w:proofErr w:type="spellStart"/>
            <w:r w:rsidRPr="00B36028">
              <w:rPr>
                <w:rFonts w:ascii="Arial" w:hAnsi="Arial" w:cs="Arial"/>
              </w:rPr>
              <w:t>galactocerebrosidase</w:t>
            </w:r>
            <w:proofErr w:type="spellEnd"/>
            <w:r w:rsidRPr="00B36028">
              <w:rPr>
                <w:rFonts w:ascii="Arial" w:hAnsi="Arial" w:cs="Arial"/>
              </w:rPr>
              <w:t xml:space="preserve">  </w:t>
            </w:r>
          </w:p>
        </w:tc>
        <w:tc>
          <w:tcPr>
            <w:tcW w:w="2127" w:type="dxa"/>
          </w:tcPr>
          <w:p w:rsidR="00B36028" w:rsidRPr="00B36028" w:rsidRDefault="00B36028" w:rsidP="00D34527">
            <w:pPr>
              <w:rPr>
                <w:rFonts w:ascii="Arial" w:hAnsi="Arial" w:cs="Arial"/>
              </w:rPr>
            </w:pPr>
            <w:r w:rsidRPr="00B36028">
              <w:rPr>
                <w:rFonts w:ascii="Arial" w:hAnsi="Arial" w:cs="Arial"/>
              </w:rPr>
              <w:t xml:space="preserve">Autosomal recessive, biallelic variants in </w:t>
            </w:r>
            <w:r w:rsidRPr="00B36028">
              <w:rPr>
                <w:rFonts w:ascii="Arial" w:hAnsi="Arial" w:cs="Arial"/>
                <w:i/>
              </w:rPr>
              <w:t>GALC</w:t>
            </w:r>
            <w:r w:rsidRPr="00B36028">
              <w:rPr>
                <w:rFonts w:ascii="Arial" w:hAnsi="Arial" w:cs="Arial"/>
              </w:rPr>
              <w:t xml:space="preserve"> gene</w:t>
            </w:r>
          </w:p>
        </w:tc>
        <w:tc>
          <w:tcPr>
            <w:tcW w:w="2234" w:type="dxa"/>
          </w:tcPr>
          <w:p w:rsidR="00B36028" w:rsidRPr="00B36028" w:rsidRDefault="00B36028" w:rsidP="00D34527">
            <w:pPr>
              <w:rPr>
                <w:rFonts w:ascii="Arial" w:hAnsi="Arial" w:cs="Arial"/>
              </w:rPr>
            </w:pPr>
            <w:r w:rsidRPr="00B36028">
              <w:rPr>
                <w:rFonts w:ascii="Arial" w:hAnsi="Arial" w:cs="Arial"/>
              </w:rPr>
              <w:t xml:space="preserve">Irritability, limb spasticity, truncal </w:t>
            </w:r>
            <w:proofErr w:type="spellStart"/>
            <w:r w:rsidRPr="00B36028">
              <w:rPr>
                <w:rFonts w:ascii="Arial" w:hAnsi="Arial" w:cs="Arial"/>
              </w:rPr>
              <w:t>hypotonia</w:t>
            </w:r>
            <w:proofErr w:type="spellEnd"/>
            <w:r w:rsidRPr="00B36028">
              <w:rPr>
                <w:rFonts w:ascii="Arial" w:hAnsi="Arial" w:cs="Arial"/>
              </w:rPr>
              <w:t>, absent reflexes, microcephaly</w:t>
            </w:r>
          </w:p>
        </w:tc>
      </w:tr>
      <w:tr w:rsidR="00B36028" w:rsidRPr="00B36028" w:rsidTr="00D34527">
        <w:tc>
          <w:tcPr>
            <w:tcW w:w="2659" w:type="dxa"/>
          </w:tcPr>
          <w:p w:rsidR="00B36028" w:rsidRPr="00B36028" w:rsidRDefault="00B36028" w:rsidP="00B36028">
            <w:pPr>
              <w:rPr>
                <w:rFonts w:ascii="Arial" w:hAnsi="Arial" w:cs="Arial"/>
              </w:rPr>
            </w:pPr>
            <w:r w:rsidRPr="00B36028">
              <w:rPr>
                <w:rFonts w:ascii="Arial" w:hAnsi="Arial" w:cs="Arial"/>
              </w:rPr>
              <w:t>Alexander disease</w:t>
            </w:r>
            <w:r w:rsidRPr="00B36028">
              <w:rPr>
                <w:rFonts w:ascii="Arial" w:hAnsi="Arial" w:cs="Arial"/>
              </w:rPr>
              <w:fldChar w:fldCharType="begin" w:fldLock="1"/>
            </w:r>
            <w:r w:rsidRPr="00B36028">
              <w:rPr>
                <w:rFonts w:ascii="Arial" w:hAnsi="Arial" w:cs="Arial"/>
              </w:rPr>
              <w:instrText>ADDIN CSL_CITATION {"citationItems":[{"id":"ITEM-1","itemData":{"PMID":"20301351","abstract":"CLINICAL CHARACTERISTICS Alexander disease is a progressive disorder of cerebral white matter that predominantly affects infants and children and has variable life expectancy. The later-onset forms present with a slower clinical course. The infantile form comprises about 42% of affected individuals, the juvenile form about 22%, and the adult form about 33%. A neonatal form is also recognized. The neonatal form leads to severe disability or death within two years. Characteristics include seizures, hydrocephalus, severe motor and intellectual disability, and elevated CSF protein concentration. MRI shows severe white matter abnormalities with involvement of the basal ganglia and cerebellum. The infantile form presents in the first two years of life, typically with progressive psychomotor retardation with loss of developmental milestones, megalencephaly, frontal bossing, and seizures. Other findings include hyperreflexia and pyramidal signs, ataxia, and occasional hydrocephalus secondary to aqueductal stenosis. Affected children survive weeks to several years. The juvenile form usually presents between ages four and ten years, occasionally in the mid-teens. Findings can include bulbar/pseudobulbar signs, ataxia, gradual loss of intellectual function, seizures, normocephaly or megalencephaly, and breathing problems. Survival ranges from the early teens to the 20s-30s. The adult form is the most variable. DIAGNOSIS/TESTING Diagnosis of Alexander disease is based on clinical findings, and confirmed with MRI changes and identification of a heterozygous pathogenic variant in GFAP, which encodes glial fibrillary acidic protein. MANAGEMENT Treatment of manifestations: Treatment is supportive and includes attention to general care and nutritional requirements, antibiotic treatment for intercurrent infection, antiepileptic drugs (AEDs) for seizure control, assessment for learning disabilities and cognitive impairment, and physical and occupational therapy as needed. Prevention of secondary complications: It is essential to pay attention to nutritional status, swallowing ability, and early signs of scoliosis. Surveillance: Examinations at regular intervals by a multidisciplinary team with particular attention to growth, gastrointestinal function/nutritional intake, orthopedic and neurologic status, strength and mobility, communication skills, and psychological complications. GENETIC COUNSELING Alexander disease is inherited in an autosomal dominant manner. The risk t…","author":[{"dropping-particle":"","family":"Srivastava","given":"Siddharth","non-dropping-particle":"","parse-names":false,"suffix":""},{"dropping-particle":"","family":"Naidu","given":"Sakkubai","non-dropping-particle":"","parse-names":false,"suffix":""}],"container-title":"GeneReviews","id":"ITEM-1","issued":{"date-parts":[["2015","1","8"]]},"publisher":"University of Washington, Seattle","title":"Alexander Disease","type":"book"},"uris":["http://www.mendeley.com/documents/?uuid=f1037b02-a5c6-3b53-9773-ca2927475cd2"]}],"mendeley":{"formattedCitation":"&lt;sup&gt;2&lt;/sup&gt;","plainTextFormattedCitation":"2","previouslyFormattedCitation":"&lt;sup&gt;15&lt;/sup&gt;"},"properties":{"noteIndex":0},"schema":"https://github.com/citation-style-language/schema/raw/master/csl-citation.json"}</w:instrText>
            </w:r>
            <w:r w:rsidRPr="00B36028">
              <w:rPr>
                <w:rFonts w:ascii="Arial" w:hAnsi="Arial" w:cs="Arial"/>
              </w:rPr>
              <w:fldChar w:fldCharType="separate"/>
            </w:r>
            <w:r w:rsidRPr="00B36028">
              <w:rPr>
                <w:rFonts w:ascii="Arial" w:hAnsi="Arial" w:cs="Arial"/>
                <w:noProof/>
                <w:vertAlign w:val="superscript"/>
              </w:rPr>
              <w:t>2</w:t>
            </w:r>
            <w:r w:rsidRPr="00B36028">
              <w:rPr>
                <w:rFonts w:ascii="Arial" w:hAnsi="Arial" w:cs="Arial"/>
              </w:rPr>
              <w:fldChar w:fldCharType="end"/>
            </w:r>
            <w:r w:rsidRPr="00B36028">
              <w:rPr>
                <w:rFonts w:ascii="Arial" w:hAnsi="Arial" w:cs="Arial"/>
              </w:rPr>
              <w:t>*</w:t>
            </w:r>
          </w:p>
        </w:tc>
        <w:tc>
          <w:tcPr>
            <w:tcW w:w="2330" w:type="dxa"/>
          </w:tcPr>
          <w:p w:rsidR="00B36028" w:rsidRPr="00B36028" w:rsidRDefault="00B36028" w:rsidP="00D34527">
            <w:pPr>
              <w:rPr>
                <w:rFonts w:ascii="Arial" w:hAnsi="Arial" w:cs="Arial"/>
              </w:rPr>
            </w:pPr>
            <w:proofErr w:type="spellStart"/>
            <w:r w:rsidRPr="00B36028">
              <w:rPr>
                <w:rFonts w:ascii="Arial" w:hAnsi="Arial" w:cs="Arial"/>
              </w:rPr>
              <w:t>Dysmyelinating</w:t>
            </w:r>
            <w:proofErr w:type="spellEnd"/>
            <w:r w:rsidRPr="00B36028">
              <w:rPr>
                <w:rFonts w:ascii="Arial" w:hAnsi="Arial" w:cs="Arial"/>
              </w:rPr>
              <w:t xml:space="preserve"> disorder with Rosenthal fibers within astrocytes </w:t>
            </w:r>
          </w:p>
        </w:tc>
        <w:tc>
          <w:tcPr>
            <w:tcW w:w="2127" w:type="dxa"/>
          </w:tcPr>
          <w:p w:rsidR="00B36028" w:rsidRPr="00B36028" w:rsidRDefault="00B36028" w:rsidP="00D34527">
            <w:pPr>
              <w:rPr>
                <w:rFonts w:ascii="Arial" w:hAnsi="Arial" w:cs="Arial"/>
              </w:rPr>
            </w:pPr>
            <w:r w:rsidRPr="00B36028">
              <w:rPr>
                <w:rFonts w:ascii="Arial" w:hAnsi="Arial" w:cs="Arial"/>
              </w:rPr>
              <w:t xml:space="preserve">Autosomal dominant, de novo variants in </w:t>
            </w:r>
            <w:r w:rsidRPr="00B36028">
              <w:rPr>
                <w:rFonts w:ascii="Arial" w:hAnsi="Arial" w:cs="Arial"/>
                <w:i/>
              </w:rPr>
              <w:t xml:space="preserve">GFAP </w:t>
            </w:r>
            <w:r w:rsidRPr="00B36028">
              <w:rPr>
                <w:rFonts w:ascii="Arial" w:hAnsi="Arial" w:cs="Arial"/>
              </w:rPr>
              <w:t>gene (glial fibrillary acidic protein)</w:t>
            </w:r>
          </w:p>
        </w:tc>
        <w:tc>
          <w:tcPr>
            <w:tcW w:w="2234" w:type="dxa"/>
          </w:tcPr>
          <w:p w:rsidR="00B36028" w:rsidRPr="00B36028" w:rsidRDefault="00B36028" w:rsidP="00D34527">
            <w:pPr>
              <w:rPr>
                <w:rFonts w:ascii="Arial" w:hAnsi="Arial" w:cs="Arial"/>
              </w:rPr>
            </w:pPr>
            <w:proofErr w:type="spellStart"/>
            <w:r w:rsidRPr="00B36028">
              <w:rPr>
                <w:rFonts w:ascii="Arial" w:hAnsi="Arial" w:cs="Arial"/>
              </w:rPr>
              <w:t>Megalencephaly</w:t>
            </w:r>
            <w:proofErr w:type="spellEnd"/>
            <w:r w:rsidRPr="00B36028">
              <w:rPr>
                <w:rFonts w:ascii="Arial" w:hAnsi="Arial" w:cs="Arial"/>
              </w:rPr>
              <w:t>, psychomotor regression; typically young school age but infantile forms described</w:t>
            </w:r>
          </w:p>
        </w:tc>
      </w:tr>
      <w:tr w:rsidR="00B36028" w:rsidRPr="00B36028" w:rsidTr="00D34527">
        <w:tc>
          <w:tcPr>
            <w:tcW w:w="2659" w:type="dxa"/>
          </w:tcPr>
          <w:p w:rsidR="00B36028" w:rsidRPr="00B36028" w:rsidRDefault="00B36028" w:rsidP="00B36028">
            <w:pPr>
              <w:rPr>
                <w:rFonts w:ascii="Arial" w:hAnsi="Arial" w:cs="Arial"/>
              </w:rPr>
            </w:pPr>
            <w:r w:rsidRPr="00B36028">
              <w:rPr>
                <w:rFonts w:ascii="Arial" w:hAnsi="Arial" w:cs="Arial"/>
              </w:rPr>
              <w:t>Metachromatic leukodystrophy</w:t>
            </w:r>
            <w:r w:rsidRPr="00B36028">
              <w:rPr>
                <w:rFonts w:ascii="Arial" w:hAnsi="Arial" w:cs="Arial"/>
              </w:rPr>
              <w:fldChar w:fldCharType="begin" w:fldLock="1"/>
            </w:r>
            <w:r w:rsidRPr="00B36028">
              <w:rPr>
                <w:rFonts w:ascii="Arial" w:hAnsi="Arial" w:cs="Arial"/>
              </w:rPr>
              <w:instrText>ADDIN CSL_CITATION {"citationItems":[{"id":"ITEM-1","itemData":{"PMID":"20301309","abstract":"CLINICAL CHARACTERISTICS Arylsulfatase A deficiency (also known as metachromatic leukodystrophy or MLD) is characterized by three clinical subtypes: late-infantile MLD, juvenile MLD, and adult MLD. Age of onset within a family is usually similar. The disease course may be from several years in the late-infantile-onset form to decades in the juvenile- and adult-onset forms. Late-infantile MLD. Onset is before age 30 months. Typical presenting findings include weakness, hypotonia, clumsiness, frequent falls, toe walking, and dysarthria. As the disease progresses, language, cognitive, and gross and fine motor skills regress. Later signs include spasticity, pain, seizures, and compromised vision and hearing. In the final stages, children have tonic spasms, decerebrate posturing, and general unawareness of their surroundings. Juvenile MLD. Onset is between age 30 months and 16 years. Initial manifestations include decline in school performance and emergence of behavioral problems, followed by gait disturbances. Progression is similar to but slower than in the late-infantile form. Adult MLD. Onset occurs after age 16 years, sometimes not until the fourth or fifth decade. Initial signs can include problems in school or job performance, personality changes, emotional lability, or psychosis; in others, neurologic symptoms (weakness and loss of coordination progressing to spasticity and incontinence) or seizures initially predominate. Peripheral neuropathy is common. Disease course is variable – with periods of stability interspersed with periods of decline – and may extend over two to three decades. The final stage is similar to earlier-onset forms. DIAGNOSIS/TESTING The diagnosis of MLD is established in a proband with progressive neurologic dysfunction, MRI evidence of leukodystrophy, or ARSA enzyme deficiency and identification of biallelic ARSA pathogenic variants on molecular genetic testing, or identification of elevated urinary excretion of sulfatides, or less commonly, identification of metachromatic lipid deposits in nervous system tissue. MANAGEMENT Treatment of manifestations: Physical therapy and an enriched environment to maximize intellect, neuromuscular function, and mobility; family support to enable parents and/or caregivers to anticipate decisions on walking aids, wheelchairs, feeding tubes, and other changing care needs; treatment of seizures using antiepileptic drugs in standard protocols; treatment of contractures with muscle relaxants. Stan…","author":[{"dropping-particle":"","family":"Gomez-Ospina","given":"Natalia","non-dropping-particle":"","parse-names":false,"suffix":""}],"container-title":"GeneReviews","id":"ITEM-1","issued":{"date-parts":[["2017","12","14"]]},"publisher":"University of Washington, Seattle","title":"Arylsulfatase A Deficiency","type":"book"},"uris":["http://www.mendeley.com/documents/?uuid=03a335bf-e78a-3942-a3d4-b33c05b6c21b"]}],"mendeley":{"formattedCitation":"&lt;sup&gt;3&lt;/sup&gt;","plainTextFormattedCitation":"3","previouslyFormattedCitation":"&lt;sup&gt;16&lt;/sup&gt;"},"properties":{"noteIndex":0},"schema":"https://github.com/citation-style-language/schema/raw/master/csl-citation.json"}</w:instrText>
            </w:r>
            <w:r w:rsidRPr="00B36028">
              <w:rPr>
                <w:rFonts w:ascii="Arial" w:hAnsi="Arial" w:cs="Arial"/>
              </w:rPr>
              <w:fldChar w:fldCharType="separate"/>
            </w:r>
            <w:r w:rsidRPr="00B36028">
              <w:rPr>
                <w:rFonts w:ascii="Arial" w:hAnsi="Arial" w:cs="Arial"/>
                <w:noProof/>
                <w:vertAlign w:val="superscript"/>
              </w:rPr>
              <w:t>3</w:t>
            </w:r>
            <w:r w:rsidRPr="00B36028">
              <w:rPr>
                <w:rFonts w:ascii="Arial" w:hAnsi="Arial" w:cs="Arial"/>
              </w:rPr>
              <w:fldChar w:fldCharType="end"/>
            </w:r>
            <w:r w:rsidRPr="00B36028">
              <w:rPr>
                <w:rFonts w:ascii="Arial" w:hAnsi="Arial" w:cs="Arial"/>
              </w:rPr>
              <w:t>*</w:t>
            </w:r>
          </w:p>
        </w:tc>
        <w:tc>
          <w:tcPr>
            <w:tcW w:w="2330" w:type="dxa"/>
          </w:tcPr>
          <w:p w:rsidR="00B36028" w:rsidRPr="00B36028" w:rsidRDefault="00B36028" w:rsidP="00D34527">
            <w:pPr>
              <w:rPr>
                <w:rFonts w:ascii="Arial" w:hAnsi="Arial" w:cs="Arial"/>
              </w:rPr>
            </w:pPr>
            <w:r w:rsidRPr="00B36028">
              <w:rPr>
                <w:rFonts w:ascii="Arial" w:hAnsi="Arial" w:cs="Arial"/>
              </w:rPr>
              <w:t xml:space="preserve">Lysosomal storage disorder: Deficiency of arylsulfatase A </w:t>
            </w:r>
          </w:p>
        </w:tc>
        <w:tc>
          <w:tcPr>
            <w:tcW w:w="2127" w:type="dxa"/>
          </w:tcPr>
          <w:p w:rsidR="00B36028" w:rsidRPr="00B36028" w:rsidRDefault="00B36028" w:rsidP="00D34527">
            <w:pPr>
              <w:rPr>
                <w:rFonts w:ascii="Arial" w:hAnsi="Arial" w:cs="Arial"/>
              </w:rPr>
            </w:pPr>
            <w:r w:rsidRPr="00B36028">
              <w:rPr>
                <w:rFonts w:ascii="Arial" w:hAnsi="Arial" w:cs="Arial"/>
              </w:rPr>
              <w:t xml:space="preserve">Autosomal recessive, biallelic variants in </w:t>
            </w:r>
            <w:r w:rsidRPr="00B36028">
              <w:rPr>
                <w:rFonts w:ascii="Arial" w:hAnsi="Arial" w:cs="Arial"/>
                <w:i/>
              </w:rPr>
              <w:t>ARSA</w:t>
            </w:r>
            <w:r w:rsidRPr="00B36028">
              <w:rPr>
                <w:rFonts w:ascii="Arial" w:hAnsi="Arial" w:cs="Arial"/>
              </w:rPr>
              <w:t xml:space="preserve"> gene; also detected by low enzyme activity or elevated urine </w:t>
            </w:r>
            <w:proofErr w:type="spellStart"/>
            <w:r w:rsidRPr="00B36028">
              <w:rPr>
                <w:rFonts w:ascii="Arial" w:hAnsi="Arial" w:cs="Arial"/>
              </w:rPr>
              <w:t>sulfatides</w:t>
            </w:r>
            <w:proofErr w:type="spellEnd"/>
          </w:p>
        </w:tc>
        <w:tc>
          <w:tcPr>
            <w:tcW w:w="2234" w:type="dxa"/>
          </w:tcPr>
          <w:p w:rsidR="00B36028" w:rsidRPr="00B36028" w:rsidRDefault="00B36028" w:rsidP="00D34527">
            <w:pPr>
              <w:rPr>
                <w:rFonts w:ascii="Arial" w:hAnsi="Arial" w:cs="Arial"/>
              </w:rPr>
            </w:pPr>
            <w:r w:rsidRPr="00B36028">
              <w:rPr>
                <w:rFonts w:ascii="Arial" w:hAnsi="Arial" w:cs="Arial"/>
              </w:rPr>
              <w:t xml:space="preserve">Late infantile form with progressive gait problems (14-16 months) </w:t>
            </w:r>
          </w:p>
        </w:tc>
      </w:tr>
      <w:tr w:rsidR="00B36028" w:rsidRPr="00B36028" w:rsidTr="00D34527">
        <w:tc>
          <w:tcPr>
            <w:tcW w:w="2659" w:type="dxa"/>
          </w:tcPr>
          <w:p w:rsidR="00B36028" w:rsidRPr="00B36028" w:rsidRDefault="00B36028" w:rsidP="00B36028">
            <w:pPr>
              <w:rPr>
                <w:rFonts w:ascii="Arial" w:hAnsi="Arial" w:cs="Arial"/>
              </w:rPr>
            </w:pPr>
            <w:proofErr w:type="spellStart"/>
            <w:r w:rsidRPr="00B36028">
              <w:rPr>
                <w:rFonts w:ascii="Arial" w:hAnsi="Arial" w:cs="Arial"/>
              </w:rPr>
              <w:t>Pelizaeus-Merzbacher</w:t>
            </w:r>
            <w:proofErr w:type="spellEnd"/>
            <w:r w:rsidRPr="00B36028">
              <w:rPr>
                <w:rFonts w:ascii="Arial" w:hAnsi="Arial" w:cs="Arial"/>
              </w:rPr>
              <w:t xml:space="preserve"> disease</w:t>
            </w:r>
            <w:r w:rsidRPr="00B36028">
              <w:rPr>
                <w:rFonts w:ascii="Arial" w:hAnsi="Arial" w:cs="Arial"/>
              </w:rPr>
              <w:fldChar w:fldCharType="begin" w:fldLock="1"/>
            </w:r>
            <w:r w:rsidRPr="00B36028">
              <w:rPr>
                <w:rFonts w:ascii="Arial" w:hAnsi="Arial" w:cs="Arial"/>
              </w:rPr>
              <w:instrText>ADDIN CSL_CITATION {"citationItems":[{"id":"ITEM-1","itemData":{"PMID":"20301361","abstract":"CLINICAL CHARACTERISTICS PLP1-related disorders of central nervous system myelin formation include a range of phenotypes from Pelizaeus-Merzbacher disease (PMD) to spastic paraplegia 2 (SPG2). PMD typically manifests in infancy or early childhood with nystagmus, hypotonia, and cognitive impairment; the findings progress to severe spasticity and ataxia. Life span is shortened. SPG2 manifests as spastic paraparesis with or without CNS involvement and usually normal life span. Intrafamilial variation of phenotypes can be observed, but the signs are usually fairly consistent within families. Female carriers may manifest mild to moderate signs of the disease. DIAGNOSIS/TESTING Clinical diagnosis of PLP1-related disorders depends on typical neurologic findings, X-linked inheritance pattern, and, usually, the finding of diffusely abnormal myelin on MRI. MANAGEMENT Treatment of manifestations: A multidisciplinary team comprising specialists in neurology, physical medicine, orthopedics, pulmonary medicine, and gastroenterology should be assembled. Treatment may include gastrostomy for individuals with severe dysphagia; antiepileptic drugs (AEDs) for seizures; and routine management of spasticity including physical therapy, exercise, medications (baclofen, diazepam, tizanidine, botulinum toxin), orthotics, and surgery for joint contractures. Individuals with scoliosis benefit from proper wheelchair seating and physical therapy; surgery may be required in severe cases. Specialized education and assessments are generally necessary, and assisted communication devices may be helpful. Prevention of secondary complications: Proper wheelchair seating and physical therapy may help prevent scoliosis. Surveillance: Semiannual to annual neurologic and physical medicine evaluations during childhood to monitor developmental progress, spasticity, and orthopedic complications. GENETIC COUNSELING PLP1-related disorders are inherited in an X-linked manner. De novo pathogenic variants have been reported. Males with the PMD phenotype do not reproduce; males with the SPG2 phenotype may reproduce. All daughters of a male proband will be carriers; no sons will inherit the pathogenic variant. All sons of a female carrier are at a 50% risk of inheriting the pathogenic variant and having the disease; all daughters are at a 50% risk of being carriers. Carrier testing for at-risk relatives and prenatal testing for pregnancies at increased risk are possible in families in which the PLP1 pat…","author":[{"dropping-particle":"","family":"Hobson","given":"Grace M","non-dropping-particle":"","parse-names":false,"suffix":""},{"dropping-particle":"","family":"Kamholz","given":"John","non-dropping-particle":"","parse-names":false,"suffix":""}],"container-title":"GeneReviews","id":"ITEM-1","issued":{"date-parts":[["2013","2","28"]]},"publisher":"University of Washington, Seattle","title":"PLP1-Related Disorders","type":"book"},"uris":["http://www.mendeley.com/documents/?uuid=e6f7c753-021e-3217-9a84-f1f856d103e6"]}],"mendeley":{"formattedCitation":"&lt;sup&gt;4&lt;/sup&gt;","plainTextFormattedCitation":"4","previouslyFormattedCitation":"&lt;sup&gt;17&lt;/sup&gt;"},"properties":{"noteIndex":0},"schema":"https://github.com/citation-style-language/schema/raw/master/csl-citation.json"}</w:instrText>
            </w:r>
            <w:r w:rsidRPr="00B36028">
              <w:rPr>
                <w:rFonts w:ascii="Arial" w:hAnsi="Arial" w:cs="Arial"/>
              </w:rPr>
              <w:fldChar w:fldCharType="separate"/>
            </w:r>
            <w:r w:rsidRPr="00B36028">
              <w:rPr>
                <w:rFonts w:ascii="Arial" w:hAnsi="Arial" w:cs="Arial"/>
                <w:noProof/>
                <w:vertAlign w:val="superscript"/>
              </w:rPr>
              <w:t>4</w:t>
            </w:r>
            <w:r w:rsidRPr="00B36028">
              <w:rPr>
                <w:rFonts w:ascii="Arial" w:hAnsi="Arial" w:cs="Arial"/>
              </w:rPr>
              <w:fldChar w:fldCharType="end"/>
            </w:r>
            <w:r w:rsidRPr="00B36028">
              <w:rPr>
                <w:rFonts w:ascii="Arial" w:hAnsi="Arial" w:cs="Arial"/>
              </w:rPr>
              <w:t>*</w:t>
            </w:r>
          </w:p>
        </w:tc>
        <w:tc>
          <w:tcPr>
            <w:tcW w:w="2330" w:type="dxa"/>
          </w:tcPr>
          <w:p w:rsidR="00B36028" w:rsidRPr="00B36028" w:rsidRDefault="00B36028" w:rsidP="00D34527">
            <w:pPr>
              <w:rPr>
                <w:rFonts w:ascii="Arial" w:hAnsi="Arial" w:cs="Arial"/>
              </w:rPr>
            </w:pPr>
            <w:proofErr w:type="spellStart"/>
            <w:r w:rsidRPr="00B36028">
              <w:rPr>
                <w:rFonts w:ascii="Arial" w:hAnsi="Arial" w:cs="Arial"/>
              </w:rPr>
              <w:t>Hypomyelinating</w:t>
            </w:r>
            <w:proofErr w:type="spellEnd"/>
            <w:r w:rsidRPr="00B36028">
              <w:rPr>
                <w:rFonts w:ascii="Arial" w:hAnsi="Arial" w:cs="Arial"/>
              </w:rPr>
              <w:t xml:space="preserve"> disorder with axonal degeneration </w:t>
            </w:r>
          </w:p>
        </w:tc>
        <w:tc>
          <w:tcPr>
            <w:tcW w:w="2127" w:type="dxa"/>
          </w:tcPr>
          <w:p w:rsidR="00B36028" w:rsidRPr="00B36028" w:rsidRDefault="00B36028" w:rsidP="00D34527">
            <w:pPr>
              <w:rPr>
                <w:rFonts w:ascii="Arial" w:hAnsi="Arial" w:cs="Arial"/>
              </w:rPr>
            </w:pPr>
            <w:r w:rsidRPr="00B36028">
              <w:rPr>
                <w:rFonts w:ascii="Arial" w:hAnsi="Arial" w:cs="Arial"/>
              </w:rPr>
              <w:t xml:space="preserve">X-linked pathogenic variant in </w:t>
            </w:r>
            <w:r w:rsidRPr="00B36028">
              <w:rPr>
                <w:rFonts w:ascii="Arial" w:hAnsi="Arial" w:cs="Arial"/>
                <w:i/>
              </w:rPr>
              <w:t>PLP1</w:t>
            </w:r>
            <w:r w:rsidRPr="00B36028">
              <w:rPr>
                <w:rFonts w:ascii="Arial" w:hAnsi="Arial" w:cs="Arial"/>
              </w:rPr>
              <w:t xml:space="preserve"> gene**</w:t>
            </w:r>
          </w:p>
        </w:tc>
        <w:tc>
          <w:tcPr>
            <w:tcW w:w="2234" w:type="dxa"/>
          </w:tcPr>
          <w:p w:rsidR="00B36028" w:rsidRPr="00B36028" w:rsidRDefault="00B36028" w:rsidP="00D34527">
            <w:pPr>
              <w:rPr>
                <w:rFonts w:ascii="Arial" w:hAnsi="Arial" w:cs="Arial"/>
              </w:rPr>
            </w:pPr>
            <w:proofErr w:type="spellStart"/>
            <w:r w:rsidRPr="00B36028">
              <w:rPr>
                <w:rFonts w:ascii="Arial" w:hAnsi="Arial" w:cs="Arial"/>
              </w:rPr>
              <w:t>Pendular</w:t>
            </w:r>
            <w:proofErr w:type="spellEnd"/>
            <w:r w:rsidRPr="00B36028">
              <w:rPr>
                <w:rFonts w:ascii="Arial" w:hAnsi="Arial" w:cs="Arial"/>
              </w:rPr>
              <w:t xml:space="preserve"> nystagmus, head tremor, </w:t>
            </w:r>
            <w:proofErr w:type="spellStart"/>
            <w:r w:rsidRPr="00B36028">
              <w:rPr>
                <w:rFonts w:ascii="Arial" w:hAnsi="Arial" w:cs="Arial"/>
              </w:rPr>
              <w:t>hypotonia</w:t>
            </w:r>
            <w:proofErr w:type="spellEnd"/>
            <w:r w:rsidRPr="00B36028">
              <w:rPr>
                <w:rFonts w:ascii="Arial" w:hAnsi="Arial" w:cs="Arial"/>
              </w:rPr>
              <w:t xml:space="preserve"> and motor delays progressing to spasticity and ataxia, optic atrophy, seizures </w:t>
            </w:r>
          </w:p>
        </w:tc>
      </w:tr>
      <w:tr w:rsidR="00B36028" w:rsidRPr="00B36028" w:rsidTr="00D34527">
        <w:tc>
          <w:tcPr>
            <w:tcW w:w="2659" w:type="dxa"/>
          </w:tcPr>
          <w:p w:rsidR="00B36028" w:rsidRPr="00B36028" w:rsidRDefault="00B36028" w:rsidP="00B36028">
            <w:pPr>
              <w:rPr>
                <w:rFonts w:ascii="Arial" w:hAnsi="Arial" w:cs="Arial"/>
              </w:rPr>
            </w:pPr>
            <w:r w:rsidRPr="00B36028">
              <w:rPr>
                <w:rFonts w:ascii="Arial" w:hAnsi="Arial" w:cs="Arial"/>
              </w:rPr>
              <w:t>X-linked Adrenoleukodustrophy</w:t>
            </w:r>
            <w:r w:rsidRPr="00B36028">
              <w:rPr>
                <w:rFonts w:ascii="Arial" w:hAnsi="Arial" w:cs="Arial"/>
              </w:rPr>
              <w:fldChar w:fldCharType="begin" w:fldLock="1"/>
            </w:r>
            <w:r w:rsidRPr="00B36028">
              <w:rPr>
                <w:rFonts w:ascii="Arial" w:hAnsi="Arial" w:cs="Arial"/>
              </w:rPr>
              <w:instrText>ADDIN CSL_CITATION {"citationItems":[{"id":"ITEM-1","itemData":{"PMID":"20301491","URL":"https://www.ncbi.nlm.nih.gov/books/NBK1315/","accessed":{"date-parts":[["2019","6","26"]]},"author":[{"dropping-particle":"V","family":"Raymond","given":"Gerald","non-dropping-particle":"","parse-names":false,"suffix":""},{"dropping-particle":"","family":"Moser","given":"Ann B","non-dropping-particle":"","parse-names":false,"suffix":""},{"dropping-particle":"","family":"Fatemi","given":"Ali","non-dropping-particle":"","parse-names":false,"suffix":""}],"container-title":"GeneReviews","id":"ITEM-1","issued":{"date-parts":[["2018","2","15"]]},"publisher":"University of Washington, Seattle","title":"X-Linked Adrenoleukodystrophy","type":"webpage"},"uris":["http://www.mendeley.com/documents/?uuid=5637cda1-aa94-3e70-bdfc-f9c6d503f0a5"]}],"mendeley":{"formattedCitation":"&lt;sup&gt;5&lt;/sup&gt;","plainTextFormattedCitation":"5","previouslyFormattedCitation":"&lt;sup&gt;18&lt;/sup&gt;"},"properties":{"noteIndex":0},"schema":"https://github.com/citation-style-language/schema/raw/master/csl-citation.json"}</w:instrText>
            </w:r>
            <w:r w:rsidRPr="00B36028">
              <w:rPr>
                <w:rFonts w:ascii="Arial" w:hAnsi="Arial" w:cs="Arial"/>
              </w:rPr>
              <w:fldChar w:fldCharType="separate"/>
            </w:r>
            <w:r w:rsidRPr="00B36028">
              <w:rPr>
                <w:rFonts w:ascii="Arial" w:hAnsi="Arial" w:cs="Arial"/>
                <w:noProof/>
                <w:vertAlign w:val="superscript"/>
              </w:rPr>
              <w:t>5</w:t>
            </w:r>
            <w:r w:rsidRPr="00B36028">
              <w:rPr>
                <w:rFonts w:ascii="Arial" w:hAnsi="Arial" w:cs="Arial"/>
              </w:rPr>
              <w:fldChar w:fldCharType="end"/>
            </w:r>
            <w:r w:rsidRPr="00B36028">
              <w:rPr>
                <w:rFonts w:ascii="Arial" w:hAnsi="Arial" w:cs="Arial"/>
              </w:rPr>
              <w:t>*</w:t>
            </w:r>
          </w:p>
        </w:tc>
        <w:tc>
          <w:tcPr>
            <w:tcW w:w="2330" w:type="dxa"/>
          </w:tcPr>
          <w:p w:rsidR="00B36028" w:rsidRPr="00B36028" w:rsidRDefault="00B36028" w:rsidP="00D34527">
            <w:pPr>
              <w:rPr>
                <w:rFonts w:ascii="Arial" w:hAnsi="Arial" w:cs="Arial"/>
              </w:rPr>
            </w:pPr>
            <w:proofErr w:type="spellStart"/>
            <w:r w:rsidRPr="00B36028">
              <w:rPr>
                <w:rFonts w:ascii="Arial" w:hAnsi="Arial" w:cs="Arial"/>
              </w:rPr>
              <w:t>Peroxisomal</w:t>
            </w:r>
            <w:proofErr w:type="spellEnd"/>
            <w:r w:rsidRPr="00B36028">
              <w:rPr>
                <w:rFonts w:ascii="Arial" w:hAnsi="Arial" w:cs="Arial"/>
              </w:rPr>
              <w:t xml:space="preserve"> disorder: Abnormal function of protein within the </w:t>
            </w:r>
            <w:proofErr w:type="spellStart"/>
            <w:r w:rsidRPr="00B36028">
              <w:rPr>
                <w:rFonts w:ascii="Arial" w:hAnsi="Arial" w:cs="Arial"/>
              </w:rPr>
              <w:t>peroxisomal</w:t>
            </w:r>
            <w:proofErr w:type="spellEnd"/>
            <w:r w:rsidRPr="00B36028">
              <w:rPr>
                <w:rFonts w:ascii="Arial" w:hAnsi="Arial" w:cs="Arial"/>
              </w:rPr>
              <w:t xml:space="preserve"> membrane. </w:t>
            </w:r>
          </w:p>
        </w:tc>
        <w:tc>
          <w:tcPr>
            <w:tcW w:w="2127" w:type="dxa"/>
          </w:tcPr>
          <w:p w:rsidR="00B36028" w:rsidRPr="00B36028" w:rsidRDefault="00B36028" w:rsidP="00D34527">
            <w:pPr>
              <w:rPr>
                <w:rFonts w:ascii="Arial" w:hAnsi="Arial" w:cs="Arial"/>
                <w:u w:val="single"/>
              </w:rPr>
            </w:pPr>
            <w:r w:rsidRPr="00B36028">
              <w:rPr>
                <w:rFonts w:ascii="Arial" w:hAnsi="Arial" w:cs="Arial"/>
              </w:rPr>
              <w:t xml:space="preserve">X-linked pathogenic variant in </w:t>
            </w:r>
            <w:r w:rsidRPr="00B36028">
              <w:rPr>
                <w:rFonts w:ascii="Arial" w:hAnsi="Arial" w:cs="Arial"/>
                <w:i/>
              </w:rPr>
              <w:t>ABCD1</w:t>
            </w:r>
            <w:r w:rsidRPr="00B36028">
              <w:rPr>
                <w:rFonts w:ascii="Arial" w:hAnsi="Arial" w:cs="Arial"/>
              </w:rPr>
              <w:t xml:space="preserve"> gene**; now included on NBS for many states detected by elevated very long chain fatty acids</w:t>
            </w:r>
          </w:p>
        </w:tc>
        <w:tc>
          <w:tcPr>
            <w:tcW w:w="2234" w:type="dxa"/>
          </w:tcPr>
          <w:p w:rsidR="00B36028" w:rsidRPr="00B36028" w:rsidRDefault="00B36028" w:rsidP="00D34527">
            <w:pPr>
              <w:rPr>
                <w:rFonts w:ascii="Arial" w:hAnsi="Arial" w:cs="Arial"/>
              </w:rPr>
            </w:pPr>
            <w:r w:rsidRPr="00B36028">
              <w:rPr>
                <w:rFonts w:ascii="Arial" w:hAnsi="Arial" w:cs="Arial"/>
              </w:rPr>
              <w:t>Boys (4-8 years of age) presenting with behavior problems and regression</w:t>
            </w:r>
          </w:p>
        </w:tc>
      </w:tr>
      <w:tr w:rsidR="00B36028" w:rsidRPr="00B36028" w:rsidTr="00D34527">
        <w:tc>
          <w:tcPr>
            <w:tcW w:w="2659" w:type="dxa"/>
          </w:tcPr>
          <w:p w:rsidR="00B36028" w:rsidRPr="00B36028" w:rsidRDefault="00B36028" w:rsidP="00B36028">
            <w:pPr>
              <w:rPr>
                <w:rFonts w:ascii="Arial" w:hAnsi="Arial" w:cs="Arial"/>
              </w:rPr>
            </w:pPr>
            <w:r w:rsidRPr="00B36028">
              <w:rPr>
                <w:rFonts w:ascii="Arial" w:hAnsi="Arial" w:cs="Arial"/>
              </w:rPr>
              <w:t>Canavan disease</w:t>
            </w:r>
            <w:r w:rsidRPr="00B36028">
              <w:rPr>
                <w:rFonts w:ascii="Arial" w:hAnsi="Arial" w:cs="Arial"/>
              </w:rPr>
              <w:fldChar w:fldCharType="begin" w:fldLock="1"/>
            </w:r>
            <w:r w:rsidRPr="00B36028">
              <w:rPr>
                <w:rFonts w:ascii="Arial" w:hAnsi="Arial" w:cs="Arial"/>
              </w:rPr>
              <w:instrText>ADDIN CSL_CITATION {"citationItems":[{"id":"ITEM-1","itemData":{"PMID":"20301412","abstract":"CLINICAL CHARACTERISTICS Most individuals with Canavan disease have the neonatal/infantile form. Although such infants appear normal early in life, by age three to five months, hypotonia, head lag, macrocephaly, and developmental delays become apparent. With age, children with neonatal/infantile-onset Canavan disease often become irritable and experience sleep disturbance, seizures, and feeding difficulties. Swallowing deteriorates, and some children require nasogastric feeding or permanent feeding gastrostomies. Joint stiffness increases, so that these children resemble individuals with cerebral palsy. Children with mild/juvenile Canavan disease may have normal or mildly delayed speech or motor development early in life without regression. In spite of developmental delay most of these children can be educated in typical classroom settings and may benefit from speech therapy or tutoring as needed. Most children with mild forms of Canavan disease have normal head size, although macrocephaly, retinitis pigmentosa, and seizures have been reported in a few individuals. DIAGNOSIS/TESTING The diagnosis of Canavan disease is established in a proband with typical clinical findings and elevated N-acetylaspartic acid (NAA) in urine and/or with biallelic pathogenic variants in ASPA identified by molecular genetic testing. MANAGEMENT Treatment of manifestations: Neonatal/infantile Canavan disease. Treatment is supportive and directed to providing adequate nutrition and hydration, managing infectious diseases, and protecting the airway. Hospice care is a resource used by the families of the individuals affected by the disease. Physical therapy minimizes contractures and maximizes motor abilities and seating posture; special education programs enhance communication skills. Seizures are treated with antiepileptic drugs. Gastrostomy may be needed to maintain adequate food intake and hydration when swallowing difficulties exist. Mild/juvenile Canavan disease. May require speech therapy or tutoring but no special medical care. Surveillance: Neonatal/infantile Canavan disease. Follow up every six months to evaluate developmental status and evidence of any new problems. Mild/juvenile Canavan disease. Annual routine follow up by a pediatric neurologist or a developmental pediatrician is indicated. GENETIC COUNSELING Canavan disease is inherited in an autosomal recessive manner. Each pregnancy of a couple in which both partners are heterozygous for a pathogenic variant in AS…","author":[{"dropping-particle":"","family":"Matalon","given":"Reuben","non-dropping-particle":"","parse-names":false,"suffix":""},{"dropping-particle":"","family":"Delgado","given":"Lisvania","non-dropping-particle":"","parse-names":false,"suffix":""},{"dropping-particle":"","family":"Michals-Matalon","given":"Kimberlee","non-dropping-particle":"","parse-names":false,"suffix":""}],"container-title":"GeneReviews","id":"ITEM-1","issued":{"date-parts":[["2018","9","13"]]},"publisher":"University of Washington, Seattle","title":"Canavan Disease","type":"book"},"uris":["http://www.mendeley.com/documents/?uuid=9e9ddc96-e143-311d-83b4-df49de1f943d"]}],"mendeley":{"formattedCitation":"&lt;sup&gt;6&lt;/sup&gt;","plainTextFormattedCitation":"6","previouslyFormattedCitation":"&lt;sup&gt;19&lt;/sup&gt;"},"properties":{"noteIndex":0},"schema":"https://github.com/citation-style-language/schema/raw/master/csl-citation.json"}</w:instrText>
            </w:r>
            <w:r w:rsidRPr="00B36028">
              <w:rPr>
                <w:rFonts w:ascii="Arial" w:hAnsi="Arial" w:cs="Arial"/>
              </w:rPr>
              <w:fldChar w:fldCharType="separate"/>
            </w:r>
            <w:r w:rsidRPr="00B36028">
              <w:rPr>
                <w:rFonts w:ascii="Arial" w:hAnsi="Arial" w:cs="Arial"/>
                <w:noProof/>
                <w:vertAlign w:val="superscript"/>
              </w:rPr>
              <w:t>6</w:t>
            </w:r>
            <w:r w:rsidRPr="00B36028">
              <w:rPr>
                <w:rFonts w:ascii="Arial" w:hAnsi="Arial" w:cs="Arial"/>
              </w:rPr>
              <w:fldChar w:fldCharType="end"/>
            </w:r>
            <w:r w:rsidRPr="00B36028">
              <w:rPr>
                <w:rFonts w:ascii="Arial" w:hAnsi="Arial" w:cs="Arial"/>
              </w:rPr>
              <w:t xml:space="preserve">* </w:t>
            </w:r>
          </w:p>
        </w:tc>
        <w:tc>
          <w:tcPr>
            <w:tcW w:w="2330" w:type="dxa"/>
          </w:tcPr>
          <w:p w:rsidR="00B36028" w:rsidRPr="00B36028" w:rsidRDefault="00B36028" w:rsidP="00D34527">
            <w:pPr>
              <w:rPr>
                <w:rFonts w:ascii="Arial" w:hAnsi="Arial" w:cs="Arial"/>
              </w:rPr>
            </w:pPr>
            <w:r w:rsidRPr="00B36028">
              <w:rPr>
                <w:rFonts w:ascii="Arial" w:hAnsi="Arial" w:cs="Arial"/>
              </w:rPr>
              <w:t xml:space="preserve">Spongiform degeneration of the brain: Deficiency of </w:t>
            </w:r>
            <w:proofErr w:type="spellStart"/>
            <w:r w:rsidRPr="00B36028">
              <w:rPr>
                <w:rFonts w:ascii="Arial" w:hAnsi="Arial" w:cs="Arial"/>
              </w:rPr>
              <w:t>aspartoacylase</w:t>
            </w:r>
            <w:proofErr w:type="spellEnd"/>
            <w:r w:rsidRPr="00B36028">
              <w:rPr>
                <w:rFonts w:ascii="Arial" w:hAnsi="Arial" w:cs="Arial"/>
              </w:rPr>
              <w:t xml:space="preserve"> leading to increased </w:t>
            </w:r>
            <w:r w:rsidRPr="00B36028">
              <w:rPr>
                <w:rFonts w:ascii="Arial" w:hAnsi="Arial" w:cs="Arial"/>
                <w:i/>
              </w:rPr>
              <w:t>N</w:t>
            </w:r>
            <w:r w:rsidRPr="00B36028">
              <w:rPr>
                <w:rFonts w:ascii="Arial" w:hAnsi="Arial" w:cs="Arial"/>
              </w:rPr>
              <w:t>-</w:t>
            </w:r>
            <w:proofErr w:type="spellStart"/>
            <w:r w:rsidRPr="00B36028">
              <w:rPr>
                <w:rFonts w:ascii="Arial" w:hAnsi="Arial" w:cs="Arial"/>
              </w:rPr>
              <w:t>acetylaspartic</w:t>
            </w:r>
            <w:proofErr w:type="spellEnd"/>
            <w:r w:rsidRPr="00B36028">
              <w:rPr>
                <w:rFonts w:ascii="Arial" w:hAnsi="Arial" w:cs="Arial"/>
              </w:rPr>
              <w:t xml:space="preserve"> acid (NAA) causing demyelination</w:t>
            </w:r>
          </w:p>
        </w:tc>
        <w:tc>
          <w:tcPr>
            <w:tcW w:w="2127" w:type="dxa"/>
          </w:tcPr>
          <w:p w:rsidR="00B36028" w:rsidRPr="00B36028" w:rsidRDefault="00B36028" w:rsidP="00D34527">
            <w:pPr>
              <w:rPr>
                <w:rFonts w:ascii="Arial" w:hAnsi="Arial" w:cs="Arial"/>
              </w:rPr>
            </w:pPr>
            <w:r w:rsidRPr="00B36028">
              <w:rPr>
                <w:rFonts w:ascii="Arial" w:hAnsi="Arial" w:cs="Arial"/>
              </w:rPr>
              <w:t xml:space="preserve">Autosomal recessive pathogenic variants in the </w:t>
            </w:r>
            <w:r w:rsidRPr="00B36028">
              <w:rPr>
                <w:rFonts w:ascii="Arial" w:hAnsi="Arial" w:cs="Arial"/>
                <w:i/>
              </w:rPr>
              <w:t>ASPA</w:t>
            </w:r>
            <w:r w:rsidRPr="00B36028">
              <w:rPr>
                <w:rFonts w:ascii="Arial" w:hAnsi="Arial" w:cs="Arial"/>
              </w:rPr>
              <w:t xml:space="preserve"> gene; also detected by elevated NAA on MR spectroscopy or in urine</w:t>
            </w:r>
          </w:p>
        </w:tc>
        <w:tc>
          <w:tcPr>
            <w:tcW w:w="2234" w:type="dxa"/>
          </w:tcPr>
          <w:p w:rsidR="00B36028" w:rsidRPr="00B36028" w:rsidRDefault="00B36028" w:rsidP="00D34527">
            <w:pPr>
              <w:rPr>
                <w:rFonts w:ascii="Arial" w:hAnsi="Arial" w:cs="Arial"/>
              </w:rPr>
            </w:pPr>
            <w:r w:rsidRPr="00B36028">
              <w:rPr>
                <w:rFonts w:ascii="Arial" w:hAnsi="Arial" w:cs="Arial"/>
              </w:rPr>
              <w:t xml:space="preserve">Normal development until 3-5 months of age, followed by lethargy, </w:t>
            </w:r>
            <w:proofErr w:type="spellStart"/>
            <w:r w:rsidRPr="00B36028">
              <w:rPr>
                <w:rFonts w:ascii="Arial" w:hAnsi="Arial" w:cs="Arial"/>
              </w:rPr>
              <w:t>hypotonia</w:t>
            </w:r>
            <w:proofErr w:type="spellEnd"/>
            <w:r w:rsidRPr="00B36028">
              <w:rPr>
                <w:rFonts w:ascii="Arial" w:hAnsi="Arial" w:cs="Arial"/>
              </w:rPr>
              <w:t xml:space="preserve">, optic atrophy that progresses to spasticity, feeding </w:t>
            </w:r>
            <w:r w:rsidRPr="00B36028">
              <w:rPr>
                <w:rFonts w:ascii="Arial" w:hAnsi="Arial" w:cs="Arial"/>
              </w:rPr>
              <w:lastRenderedPageBreak/>
              <w:t xml:space="preserve">difficulties, and seizures </w:t>
            </w:r>
          </w:p>
        </w:tc>
      </w:tr>
    </w:tbl>
    <w:p w:rsidR="00B36028" w:rsidRPr="00B36028" w:rsidRDefault="00B36028" w:rsidP="00B36028">
      <w:pPr>
        <w:rPr>
          <w:rFonts w:ascii="Arial" w:hAnsi="Arial" w:cs="Arial"/>
        </w:rPr>
      </w:pPr>
      <w:r w:rsidRPr="00B36028">
        <w:rPr>
          <w:rFonts w:ascii="Arial" w:hAnsi="Arial" w:cs="Arial"/>
        </w:rPr>
        <w:lastRenderedPageBreak/>
        <w:t xml:space="preserve">*Listed in American Board of Psychiatry and Neurology (ABPN) Certification Examination Content Specifications </w:t>
      </w:r>
    </w:p>
    <w:p w:rsidR="004D10F9" w:rsidRPr="00B36028" w:rsidRDefault="00B36028" w:rsidP="00B36028">
      <w:pPr>
        <w:rPr>
          <w:rFonts w:ascii="Arial" w:hAnsi="Arial" w:cs="Arial"/>
        </w:rPr>
      </w:pPr>
      <w:r w:rsidRPr="00B36028">
        <w:rPr>
          <w:rFonts w:ascii="Arial" w:hAnsi="Arial" w:cs="Arial"/>
        </w:rPr>
        <w:t>**X-linked disorders would be less likely in female patients</w:t>
      </w:r>
    </w:p>
    <w:p w:rsidR="00B36028" w:rsidRPr="00B36028" w:rsidRDefault="00B36028" w:rsidP="00B36028">
      <w:pPr>
        <w:rPr>
          <w:rFonts w:ascii="Arial" w:hAnsi="Arial" w:cs="Arial"/>
        </w:rPr>
      </w:pPr>
    </w:p>
    <w:p w:rsidR="00B36028" w:rsidRPr="00B36028" w:rsidRDefault="00B36028" w:rsidP="00B36028">
      <w:pPr>
        <w:pStyle w:val="Heading1"/>
        <w:rPr>
          <w:rFonts w:ascii="Arial" w:hAnsi="Arial" w:cs="Arial"/>
        </w:rPr>
      </w:pPr>
      <w:r w:rsidRPr="00B36028">
        <w:rPr>
          <w:rFonts w:ascii="Arial" w:hAnsi="Arial" w:cs="Arial"/>
        </w:rPr>
        <w:t>Supplementary References</w:t>
      </w:r>
    </w:p>
    <w:p w:rsidR="00B36028" w:rsidRPr="00B36028" w:rsidRDefault="00B36028" w:rsidP="00B36028">
      <w:pPr>
        <w:widowControl w:val="0"/>
        <w:autoSpaceDE w:val="0"/>
        <w:autoSpaceDN w:val="0"/>
        <w:adjustRightInd w:val="0"/>
        <w:spacing w:line="240" w:lineRule="auto"/>
        <w:ind w:left="640" w:hanging="640"/>
        <w:rPr>
          <w:rFonts w:ascii="Arial" w:hAnsi="Arial" w:cs="Arial"/>
          <w:noProof/>
          <w:szCs w:val="24"/>
        </w:rPr>
      </w:pPr>
      <w:r w:rsidRPr="00B36028">
        <w:rPr>
          <w:rFonts w:ascii="Arial" w:hAnsi="Arial" w:cs="Arial"/>
        </w:rPr>
        <w:fldChar w:fldCharType="begin" w:fldLock="1"/>
      </w:r>
      <w:r w:rsidRPr="00B36028">
        <w:rPr>
          <w:rFonts w:ascii="Arial" w:hAnsi="Arial" w:cs="Arial"/>
        </w:rPr>
        <w:instrText xml:space="preserve">ADDIN Mendeley Bibliography CSL_BIBLIOGRAPHY </w:instrText>
      </w:r>
      <w:r w:rsidRPr="00B36028">
        <w:rPr>
          <w:rFonts w:ascii="Arial" w:hAnsi="Arial" w:cs="Arial"/>
        </w:rPr>
        <w:fldChar w:fldCharType="separate"/>
      </w:r>
      <w:r w:rsidRPr="00B36028">
        <w:rPr>
          <w:rFonts w:ascii="Arial" w:hAnsi="Arial" w:cs="Arial"/>
          <w:noProof/>
          <w:szCs w:val="24"/>
        </w:rPr>
        <w:t xml:space="preserve">1. </w:t>
      </w:r>
      <w:r w:rsidRPr="00B36028">
        <w:rPr>
          <w:rFonts w:ascii="Arial" w:hAnsi="Arial" w:cs="Arial"/>
          <w:noProof/>
          <w:szCs w:val="24"/>
        </w:rPr>
        <w:tab/>
        <w:t xml:space="preserve">Orsini JJ, Escolar ML, Wasserstein MP, Caggana M. </w:t>
      </w:r>
      <w:r w:rsidRPr="00B36028">
        <w:rPr>
          <w:rFonts w:ascii="Arial" w:hAnsi="Arial" w:cs="Arial"/>
          <w:i/>
          <w:iCs/>
          <w:noProof/>
          <w:szCs w:val="24"/>
        </w:rPr>
        <w:t>Krabbe Disease</w:t>
      </w:r>
      <w:r w:rsidRPr="00B36028">
        <w:rPr>
          <w:rFonts w:ascii="Arial" w:hAnsi="Arial" w:cs="Arial"/>
          <w:noProof/>
          <w:szCs w:val="24"/>
        </w:rPr>
        <w:t>.; 2018.</w:t>
      </w:r>
    </w:p>
    <w:p w:rsidR="00B36028" w:rsidRPr="00B36028" w:rsidRDefault="00B36028" w:rsidP="00B36028">
      <w:pPr>
        <w:widowControl w:val="0"/>
        <w:autoSpaceDE w:val="0"/>
        <w:autoSpaceDN w:val="0"/>
        <w:adjustRightInd w:val="0"/>
        <w:spacing w:line="240" w:lineRule="auto"/>
        <w:ind w:left="640" w:hanging="640"/>
        <w:rPr>
          <w:rFonts w:ascii="Arial" w:hAnsi="Arial" w:cs="Arial"/>
          <w:noProof/>
          <w:szCs w:val="24"/>
        </w:rPr>
      </w:pPr>
      <w:r w:rsidRPr="00B36028">
        <w:rPr>
          <w:rFonts w:ascii="Arial" w:hAnsi="Arial" w:cs="Arial"/>
          <w:noProof/>
          <w:szCs w:val="24"/>
        </w:rPr>
        <w:t xml:space="preserve">2. </w:t>
      </w:r>
      <w:r w:rsidRPr="00B36028">
        <w:rPr>
          <w:rFonts w:ascii="Arial" w:hAnsi="Arial" w:cs="Arial"/>
          <w:noProof/>
          <w:szCs w:val="24"/>
        </w:rPr>
        <w:tab/>
        <w:t xml:space="preserve">Srivastava S, Naidu S. </w:t>
      </w:r>
      <w:r w:rsidRPr="00B36028">
        <w:rPr>
          <w:rFonts w:ascii="Arial" w:hAnsi="Arial" w:cs="Arial"/>
          <w:i/>
          <w:iCs/>
          <w:noProof/>
          <w:szCs w:val="24"/>
        </w:rPr>
        <w:t>Alexander Disease</w:t>
      </w:r>
      <w:r w:rsidRPr="00B36028">
        <w:rPr>
          <w:rFonts w:ascii="Arial" w:hAnsi="Arial" w:cs="Arial"/>
          <w:noProof/>
          <w:szCs w:val="24"/>
        </w:rPr>
        <w:t>. University of Washington, Seattle; 2015.</w:t>
      </w:r>
    </w:p>
    <w:p w:rsidR="00B36028" w:rsidRPr="00B36028" w:rsidRDefault="00B36028" w:rsidP="00B36028">
      <w:pPr>
        <w:widowControl w:val="0"/>
        <w:autoSpaceDE w:val="0"/>
        <w:autoSpaceDN w:val="0"/>
        <w:adjustRightInd w:val="0"/>
        <w:spacing w:line="240" w:lineRule="auto"/>
        <w:ind w:left="640" w:hanging="640"/>
        <w:rPr>
          <w:rFonts w:ascii="Arial" w:hAnsi="Arial" w:cs="Arial"/>
          <w:noProof/>
          <w:szCs w:val="24"/>
        </w:rPr>
      </w:pPr>
      <w:r w:rsidRPr="00B36028">
        <w:rPr>
          <w:rFonts w:ascii="Arial" w:hAnsi="Arial" w:cs="Arial"/>
          <w:noProof/>
          <w:szCs w:val="24"/>
        </w:rPr>
        <w:t xml:space="preserve">3. </w:t>
      </w:r>
      <w:r w:rsidRPr="00B36028">
        <w:rPr>
          <w:rFonts w:ascii="Arial" w:hAnsi="Arial" w:cs="Arial"/>
          <w:noProof/>
          <w:szCs w:val="24"/>
        </w:rPr>
        <w:tab/>
        <w:t xml:space="preserve">Gomez-Ospina N. </w:t>
      </w:r>
      <w:r w:rsidRPr="00B36028">
        <w:rPr>
          <w:rFonts w:ascii="Arial" w:hAnsi="Arial" w:cs="Arial"/>
          <w:i/>
          <w:iCs/>
          <w:noProof/>
          <w:szCs w:val="24"/>
        </w:rPr>
        <w:t>Arylsulfatase A Deficiency</w:t>
      </w:r>
      <w:r w:rsidRPr="00B36028">
        <w:rPr>
          <w:rFonts w:ascii="Arial" w:hAnsi="Arial" w:cs="Arial"/>
          <w:noProof/>
          <w:szCs w:val="24"/>
        </w:rPr>
        <w:t>. University of Washington, Seattle; 2017.</w:t>
      </w:r>
    </w:p>
    <w:p w:rsidR="00B36028" w:rsidRPr="00B36028" w:rsidRDefault="00B36028" w:rsidP="00B36028">
      <w:pPr>
        <w:widowControl w:val="0"/>
        <w:autoSpaceDE w:val="0"/>
        <w:autoSpaceDN w:val="0"/>
        <w:adjustRightInd w:val="0"/>
        <w:spacing w:line="240" w:lineRule="auto"/>
        <w:ind w:left="640" w:hanging="640"/>
        <w:rPr>
          <w:rFonts w:ascii="Arial" w:hAnsi="Arial" w:cs="Arial"/>
          <w:noProof/>
          <w:szCs w:val="24"/>
        </w:rPr>
      </w:pPr>
      <w:r w:rsidRPr="00B36028">
        <w:rPr>
          <w:rFonts w:ascii="Arial" w:hAnsi="Arial" w:cs="Arial"/>
          <w:noProof/>
          <w:szCs w:val="24"/>
        </w:rPr>
        <w:t xml:space="preserve">4. </w:t>
      </w:r>
      <w:r w:rsidRPr="00B36028">
        <w:rPr>
          <w:rFonts w:ascii="Arial" w:hAnsi="Arial" w:cs="Arial"/>
          <w:noProof/>
          <w:szCs w:val="24"/>
        </w:rPr>
        <w:tab/>
        <w:t xml:space="preserve">Hobson GM, Kamholz J. </w:t>
      </w:r>
      <w:r w:rsidRPr="00B36028">
        <w:rPr>
          <w:rFonts w:ascii="Arial" w:hAnsi="Arial" w:cs="Arial"/>
          <w:i/>
          <w:iCs/>
          <w:noProof/>
          <w:szCs w:val="24"/>
        </w:rPr>
        <w:t>PLP1-Related Disorders</w:t>
      </w:r>
      <w:r w:rsidRPr="00B36028">
        <w:rPr>
          <w:rFonts w:ascii="Arial" w:hAnsi="Arial" w:cs="Arial"/>
          <w:noProof/>
          <w:szCs w:val="24"/>
        </w:rPr>
        <w:t>. University of Washington, Seattle; 2013.</w:t>
      </w:r>
    </w:p>
    <w:p w:rsidR="00B36028" w:rsidRPr="00B36028" w:rsidRDefault="00B36028" w:rsidP="00B36028">
      <w:pPr>
        <w:widowControl w:val="0"/>
        <w:autoSpaceDE w:val="0"/>
        <w:autoSpaceDN w:val="0"/>
        <w:adjustRightInd w:val="0"/>
        <w:spacing w:line="240" w:lineRule="auto"/>
        <w:ind w:left="640" w:hanging="640"/>
        <w:rPr>
          <w:rFonts w:ascii="Arial" w:hAnsi="Arial" w:cs="Arial"/>
          <w:noProof/>
          <w:szCs w:val="24"/>
        </w:rPr>
      </w:pPr>
      <w:r w:rsidRPr="00B36028">
        <w:rPr>
          <w:rFonts w:ascii="Arial" w:hAnsi="Arial" w:cs="Arial"/>
          <w:noProof/>
          <w:szCs w:val="24"/>
        </w:rPr>
        <w:t xml:space="preserve">5. </w:t>
      </w:r>
      <w:r w:rsidRPr="00B36028">
        <w:rPr>
          <w:rFonts w:ascii="Arial" w:hAnsi="Arial" w:cs="Arial"/>
          <w:noProof/>
          <w:szCs w:val="24"/>
        </w:rPr>
        <w:tab/>
        <w:t>Raymond G V, Moser AB, Fatemi A. X-Linked Adrenoleukodystrophy. GeneReviews. https://www.ncbi.nlm.nih.gov/books/NBK1315/. Published February 15, 2018. Accessed June 26, 2019.</w:t>
      </w:r>
    </w:p>
    <w:p w:rsidR="00B36028" w:rsidRPr="00B36028" w:rsidRDefault="00B36028" w:rsidP="00B36028">
      <w:pPr>
        <w:widowControl w:val="0"/>
        <w:autoSpaceDE w:val="0"/>
        <w:autoSpaceDN w:val="0"/>
        <w:adjustRightInd w:val="0"/>
        <w:spacing w:line="240" w:lineRule="auto"/>
        <w:ind w:left="640" w:hanging="640"/>
        <w:rPr>
          <w:rFonts w:ascii="Arial" w:hAnsi="Arial" w:cs="Arial"/>
          <w:noProof/>
        </w:rPr>
      </w:pPr>
      <w:r w:rsidRPr="00B36028">
        <w:rPr>
          <w:rFonts w:ascii="Arial" w:hAnsi="Arial" w:cs="Arial"/>
          <w:noProof/>
          <w:szCs w:val="24"/>
        </w:rPr>
        <w:t xml:space="preserve">6. </w:t>
      </w:r>
      <w:r w:rsidRPr="00B36028">
        <w:rPr>
          <w:rFonts w:ascii="Arial" w:hAnsi="Arial" w:cs="Arial"/>
          <w:noProof/>
          <w:szCs w:val="24"/>
        </w:rPr>
        <w:tab/>
        <w:t xml:space="preserve">Matalon R, Delgado L, Michals-Matalon K. </w:t>
      </w:r>
      <w:r w:rsidRPr="00B36028">
        <w:rPr>
          <w:rFonts w:ascii="Arial" w:hAnsi="Arial" w:cs="Arial"/>
          <w:i/>
          <w:iCs/>
          <w:noProof/>
          <w:szCs w:val="24"/>
        </w:rPr>
        <w:t>Canavan Disease</w:t>
      </w:r>
      <w:r w:rsidRPr="00B36028">
        <w:rPr>
          <w:rFonts w:ascii="Arial" w:hAnsi="Arial" w:cs="Arial"/>
          <w:noProof/>
          <w:szCs w:val="24"/>
        </w:rPr>
        <w:t>. University of Washington, Seattle; 2018.</w:t>
      </w:r>
    </w:p>
    <w:p w:rsidR="00B36028" w:rsidRPr="00B36028" w:rsidRDefault="00B36028" w:rsidP="00B36028">
      <w:pPr>
        <w:rPr>
          <w:rFonts w:ascii="Arial" w:hAnsi="Arial" w:cs="Arial"/>
        </w:rPr>
      </w:pPr>
      <w:r w:rsidRPr="00B36028">
        <w:rPr>
          <w:rFonts w:ascii="Arial" w:hAnsi="Arial" w:cs="Arial"/>
        </w:rPr>
        <w:fldChar w:fldCharType="end"/>
      </w:r>
      <w:bookmarkStart w:id="0" w:name="_GoBack"/>
      <w:bookmarkEnd w:id="0"/>
    </w:p>
    <w:sectPr w:rsidR="00B36028" w:rsidRPr="00B3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28"/>
    <w:rsid w:val="008B1AA7"/>
    <w:rsid w:val="00B1272F"/>
    <w:rsid w:val="00B3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B2C7"/>
  <w15:chartTrackingRefBased/>
  <w15:docId w15:val="{53BCBBFB-2115-4495-BC2F-ABDF3A47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28"/>
  </w:style>
  <w:style w:type="paragraph" w:styleId="Heading1">
    <w:name w:val="heading 1"/>
    <w:basedOn w:val="Normal"/>
    <w:next w:val="Normal"/>
    <w:link w:val="Heading1Char"/>
    <w:uiPriority w:val="9"/>
    <w:qFormat/>
    <w:rsid w:val="00B36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02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72E2-8B08-41FD-A01C-FD1C6D85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Elizabeth</dc:creator>
  <cp:keywords/>
  <dc:description/>
  <cp:lastModifiedBy>Ames, Elizabeth</cp:lastModifiedBy>
  <cp:revision>1</cp:revision>
  <dcterms:created xsi:type="dcterms:W3CDTF">2019-08-29T12:58:00Z</dcterms:created>
  <dcterms:modified xsi:type="dcterms:W3CDTF">2019-08-29T13:09:00Z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http://www.zotero.org/styles/american-medical-association</vt:lpwstr>
  </property>
  <property fmtid="{D5CDD505-2E9C-101B-9397-08002B2CF9AE}" pid="23" name="Mendeley Document_1">
    <vt:lpwstr>True</vt:lpwstr>
  </property>
  <property fmtid="{D5CDD505-2E9C-101B-9397-08002B2CF9AE}" pid="24" name="Mendeley Unique User Id_1">
    <vt:lpwstr>1690e1c7-8b12-3d36-be37-7b6964c51682</vt:lpwstr>
  </property>
</Properties>
</file>