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6FC5" w14:textId="7DA32E70" w:rsidR="000F7119" w:rsidRPr="001A321E" w:rsidRDefault="000F7119" w:rsidP="001A321E">
      <w:pPr>
        <w:pStyle w:val="NoSpacing"/>
        <w:jc w:val="center"/>
        <w:rPr>
          <w:b/>
        </w:rPr>
      </w:pPr>
      <w:r w:rsidRPr="001A321E">
        <w:rPr>
          <w:b/>
        </w:rPr>
        <w:t xml:space="preserve">MOUSE AUDITORY BRAINSTEM RESPONSE </w:t>
      </w:r>
      <w:r w:rsidR="009C2912" w:rsidRPr="001A321E">
        <w:rPr>
          <w:b/>
        </w:rPr>
        <w:t xml:space="preserve">(ABR) </w:t>
      </w:r>
      <w:r w:rsidRPr="001A321E">
        <w:rPr>
          <w:b/>
        </w:rPr>
        <w:t>DATA RESOURCE</w:t>
      </w:r>
    </w:p>
    <w:p w14:paraId="581C0C53" w14:textId="770570EE" w:rsidR="009A6475" w:rsidRDefault="009A6475" w:rsidP="001A321E">
      <w:pPr>
        <w:pStyle w:val="NoSpacing"/>
        <w:jc w:val="center"/>
        <w:rPr>
          <w:b/>
        </w:rPr>
      </w:pPr>
      <w:r w:rsidRPr="001A321E">
        <w:rPr>
          <w:b/>
        </w:rPr>
        <w:t>Dr NEIL J INGHAM, Prof KAREN P STEEL. 2018.</w:t>
      </w:r>
    </w:p>
    <w:p w14:paraId="25CBF082" w14:textId="77777777" w:rsidR="001A321E" w:rsidRPr="001A321E" w:rsidRDefault="001A321E" w:rsidP="001A321E">
      <w:pPr>
        <w:pStyle w:val="NoSpacing"/>
        <w:jc w:val="center"/>
        <w:rPr>
          <w:b/>
        </w:rPr>
      </w:pPr>
    </w:p>
    <w:p w14:paraId="3D78E2A0" w14:textId="24303CBC" w:rsidR="00630EB5" w:rsidRDefault="000F7119" w:rsidP="001A321E">
      <w:pPr>
        <w:pStyle w:val="NoSpacing"/>
        <w:jc w:val="both"/>
      </w:pPr>
      <w:r>
        <w:t xml:space="preserve">This resource is intended to make available to the scientific community the entire dataset of mouse ABR recordings made as part of the </w:t>
      </w:r>
      <w:proofErr w:type="spellStart"/>
      <w:r w:rsidR="00D66A0D">
        <w:t>Wellcome</w:t>
      </w:r>
      <w:proofErr w:type="spellEnd"/>
      <w:r w:rsidR="00D66A0D">
        <w:t xml:space="preserve"> Trust Sanger Institute </w:t>
      </w:r>
      <w:r>
        <w:t>Mouse Genetics Project</w:t>
      </w:r>
      <w:r w:rsidR="00122644">
        <w:t xml:space="preserve"> (MGP)</w:t>
      </w:r>
      <w:r w:rsidR="00F6572D">
        <w:t xml:space="preserve">. </w:t>
      </w:r>
      <w:r w:rsidR="009A6475">
        <w:t>The aim is to give third-party users the information required to interpret and reconstruct the evoked potential responses recorded using their own coded script</w:t>
      </w:r>
      <w:r w:rsidR="008F7C12">
        <w:t>s and to perform their own analyses on the data</w:t>
      </w:r>
      <w:r w:rsidR="009A6475">
        <w:t>. Responses</w:t>
      </w:r>
      <w:r>
        <w:t xml:space="preserve"> were generated using custom software developed at the </w:t>
      </w:r>
      <w:r w:rsidR="00122644">
        <w:t xml:space="preserve">MRC </w:t>
      </w:r>
      <w:r>
        <w:t>Institute of Hearing Research</w:t>
      </w:r>
      <w:r w:rsidR="00122644">
        <w:t>, Nottingham,</w:t>
      </w:r>
      <w:r>
        <w:t xml:space="preserve"> and </w:t>
      </w:r>
      <w:proofErr w:type="spellStart"/>
      <w:r>
        <w:t>Wellcome</w:t>
      </w:r>
      <w:proofErr w:type="spellEnd"/>
      <w:r>
        <w:t xml:space="preserve"> Trust Sanger Institute</w:t>
      </w:r>
      <w:r w:rsidR="00122644">
        <w:t xml:space="preserve">, </w:t>
      </w:r>
      <w:proofErr w:type="spellStart"/>
      <w:r w:rsidR="00122644">
        <w:t>Hinxton</w:t>
      </w:r>
      <w:proofErr w:type="spellEnd"/>
      <w:r w:rsidR="00122644">
        <w:t>,</w:t>
      </w:r>
      <w:r>
        <w:t xml:space="preserve"> by Tim </w:t>
      </w:r>
      <w:proofErr w:type="spellStart"/>
      <w:r>
        <w:t>Folkard</w:t>
      </w:r>
      <w:proofErr w:type="spellEnd"/>
      <w:r>
        <w:t xml:space="preserve"> and Neil Ingham, respectively.</w:t>
      </w:r>
      <w:r w:rsidR="00F6572D">
        <w:t xml:space="preserve"> </w:t>
      </w:r>
      <w:r w:rsidR="00630EB5">
        <w:t xml:space="preserve">ABRs were recorded according to the methods detailed in Ingham </w:t>
      </w:r>
      <w:r w:rsidR="00630EB5" w:rsidRPr="00A16219">
        <w:rPr>
          <w:i/>
        </w:rPr>
        <w:t>et al</w:t>
      </w:r>
      <w:r w:rsidR="00122644">
        <w:rPr>
          <w:i/>
        </w:rPr>
        <w:t>.</w:t>
      </w:r>
      <w:r w:rsidR="00630EB5">
        <w:t xml:space="preserve"> 2011 and Ingham </w:t>
      </w:r>
      <w:r w:rsidR="00630EB5" w:rsidRPr="00A16219">
        <w:rPr>
          <w:i/>
        </w:rPr>
        <w:t>et</w:t>
      </w:r>
      <w:r w:rsidR="00122644" w:rsidRPr="00A16219">
        <w:rPr>
          <w:i/>
        </w:rPr>
        <w:t xml:space="preserve"> al.</w:t>
      </w:r>
      <w:r w:rsidR="00630EB5">
        <w:t xml:space="preserve"> 2018.</w:t>
      </w:r>
      <w:r w:rsidR="004F06E9">
        <w:t xml:space="preserve"> H</w:t>
      </w:r>
      <w:r w:rsidR="00630EB5">
        <w:t>ere we provide</w:t>
      </w:r>
      <w:r w:rsidR="004F06E9">
        <w:t>:</w:t>
      </w:r>
      <w:r w:rsidR="00630EB5">
        <w:t xml:space="preserve"> </w:t>
      </w:r>
    </w:p>
    <w:p w14:paraId="0AD84496" w14:textId="77777777" w:rsidR="001A321E" w:rsidRDefault="001A321E" w:rsidP="001A321E">
      <w:pPr>
        <w:pStyle w:val="NoSpacing"/>
        <w:jc w:val="both"/>
      </w:pPr>
    </w:p>
    <w:p w14:paraId="09C0795D" w14:textId="7546BD64" w:rsidR="004331A4" w:rsidRDefault="004331A4" w:rsidP="001A321E">
      <w:pPr>
        <w:pStyle w:val="NoSpacing"/>
        <w:numPr>
          <w:ilvl w:val="0"/>
          <w:numId w:val="5"/>
        </w:numPr>
        <w:jc w:val="both"/>
      </w:pPr>
      <w:r>
        <w:t xml:space="preserve">ZIP files (19 totalling 11.4GB) containing the 9000+ </w:t>
      </w:r>
      <w:r w:rsidR="000650DC">
        <w:t xml:space="preserve">ABR </w:t>
      </w:r>
      <w:r>
        <w:t>datafiles generated for during the MGP phenotyping screen.</w:t>
      </w:r>
    </w:p>
    <w:p w14:paraId="6D7A7BA9" w14:textId="6F8499C0" w:rsidR="004331A4" w:rsidRDefault="004331A4" w:rsidP="001A321E">
      <w:pPr>
        <w:pStyle w:val="NoSpacing"/>
        <w:numPr>
          <w:ilvl w:val="0"/>
          <w:numId w:val="5"/>
        </w:numPr>
        <w:jc w:val="both"/>
      </w:pPr>
      <w:r>
        <w:t>an annotation of the datafile structure (contained within “</w:t>
      </w:r>
      <w:proofErr w:type="spellStart"/>
      <w:r>
        <w:t>ABR_RESOURCE_Datafile</w:t>
      </w:r>
      <w:proofErr w:type="spellEnd"/>
      <w:r>
        <w:t xml:space="preserve"> Annotation.xlsx”). </w:t>
      </w:r>
    </w:p>
    <w:p w14:paraId="2A4B748F" w14:textId="77777777" w:rsidR="000650DC" w:rsidRDefault="000650DC" w:rsidP="001A321E">
      <w:pPr>
        <w:pStyle w:val="NoSpacing"/>
        <w:numPr>
          <w:ilvl w:val="0"/>
          <w:numId w:val="5"/>
        </w:numPr>
        <w:jc w:val="both"/>
      </w:pPr>
      <w:r>
        <w:t>a list of mice tested during the screening period and meta-data associated with each mouse (contained within “</w:t>
      </w:r>
      <w:proofErr w:type="spellStart"/>
      <w:r>
        <w:t>ABR_RESOURCE_Mouse</w:t>
      </w:r>
      <w:proofErr w:type="spellEnd"/>
      <w:r>
        <w:t xml:space="preserve"> ID.xlsx”).</w:t>
      </w:r>
    </w:p>
    <w:p w14:paraId="4C3DD1B8" w14:textId="77777777" w:rsidR="001A321E" w:rsidRDefault="001A321E" w:rsidP="001A321E">
      <w:pPr>
        <w:pStyle w:val="NoSpacing"/>
        <w:jc w:val="both"/>
      </w:pPr>
    </w:p>
    <w:p w14:paraId="15BB8C32" w14:textId="66722982" w:rsidR="004331A4" w:rsidRDefault="004331A4" w:rsidP="001A321E">
      <w:pPr>
        <w:pStyle w:val="NoSpacing"/>
        <w:numPr>
          <w:ilvl w:val="0"/>
          <w:numId w:val="6"/>
        </w:numPr>
        <w:jc w:val="both"/>
        <w:rPr>
          <w:b/>
        </w:rPr>
      </w:pPr>
      <w:r w:rsidRPr="001A321E">
        <w:rPr>
          <w:b/>
        </w:rPr>
        <w:t>ZIP-file Information.</w:t>
      </w:r>
    </w:p>
    <w:p w14:paraId="4A0127FE" w14:textId="77777777" w:rsidR="001A321E" w:rsidRPr="001A321E" w:rsidRDefault="001A321E" w:rsidP="001A321E">
      <w:pPr>
        <w:pStyle w:val="NoSpacing"/>
        <w:jc w:val="both"/>
        <w:rPr>
          <w:b/>
        </w:rPr>
      </w:pPr>
    </w:p>
    <w:p w14:paraId="4C9309A8" w14:textId="57EBD1FE" w:rsidR="008F7C12" w:rsidRDefault="008F7C12" w:rsidP="001A321E">
      <w:pPr>
        <w:pStyle w:val="NoSpacing"/>
        <w:jc w:val="both"/>
      </w:pPr>
      <w:r>
        <w:t>ZIP files (19 totalling 11.4GB)</w:t>
      </w:r>
      <w:r w:rsidR="00231F3A">
        <w:t xml:space="preserve"> are provided</w:t>
      </w:r>
      <w:r>
        <w:t xml:space="preserve"> containing the datafiles generated for each </w:t>
      </w:r>
      <w:r w:rsidR="00231F3A">
        <w:t>mouse tested. Each individual datafile i</w:t>
      </w:r>
      <w:r w:rsidR="00D048A9">
        <w:t>s</w:t>
      </w:r>
      <w:r w:rsidR="00231F3A">
        <w:t xml:space="preserve"> named according to the unique identifier barcode allocated to each mouse (listed in the mouse barcode column of </w:t>
      </w:r>
      <w:r w:rsidR="00231F3A" w:rsidRPr="00231F3A">
        <w:t>“</w:t>
      </w:r>
      <w:proofErr w:type="spellStart"/>
      <w:r w:rsidR="00231F3A" w:rsidRPr="00231F3A">
        <w:t>ABR_RESOURCE_Mouse</w:t>
      </w:r>
      <w:proofErr w:type="spellEnd"/>
      <w:r w:rsidR="00231F3A" w:rsidRPr="00231F3A">
        <w:t xml:space="preserve"> ID.xlsx”</w:t>
      </w:r>
      <w:r w:rsidR="00231F3A">
        <w:t xml:space="preserve">, as described in section </w:t>
      </w:r>
      <w:r w:rsidR="00D048A9">
        <w:t>3</w:t>
      </w:r>
      <w:r w:rsidR="00231F3A">
        <w:t xml:space="preserve"> </w:t>
      </w:r>
      <w:r w:rsidR="00D048A9">
        <w:t>below</w:t>
      </w:r>
      <w:r w:rsidR="00231F3A">
        <w:t xml:space="preserve">). Datafiles are stored across 19 zip-files in increasing alphanumeric order, with each zip-file named according to the first and last filename stored in the zip-file (for example, the first zip-files contains data from mouse </w:t>
      </w:r>
      <w:r w:rsidR="00231F3A" w:rsidRPr="00294EC5">
        <w:t>M00013165</w:t>
      </w:r>
      <w:r w:rsidR="00231F3A">
        <w:t xml:space="preserve"> to </w:t>
      </w:r>
      <w:r w:rsidR="00231F3A" w:rsidRPr="00294EC5">
        <w:t>M00145618</w:t>
      </w:r>
      <w:r w:rsidR="00231F3A">
        <w:t>).</w:t>
      </w:r>
      <w:r w:rsidR="00D048A9">
        <w:t xml:space="preserve"> The zip-files are named as follows:</w:t>
      </w:r>
    </w:p>
    <w:p w14:paraId="0CE3F131" w14:textId="1FA89834" w:rsidR="00D048A9" w:rsidRDefault="00D048A9" w:rsidP="001A321E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567"/>
        <w:gridCol w:w="4325"/>
      </w:tblGrid>
      <w:tr w:rsidR="00D048A9" w:rsidRPr="00D048A9" w14:paraId="4056C96D" w14:textId="77777777" w:rsidTr="00D048A9">
        <w:trPr>
          <w:jc w:val="center"/>
        </w:trPr>
        <w:tc>
          <w:tcPr>
            <w:tcW w:w="959" w:type="dxa"/>
            <w:shd w:val="clear" w:color="auto" w:fill="F2F2F2" w:themeFill="background1" w:themeFillShade="F2"/>
          </w:tcPr>
          <w:p w14:paraId="20266D4B" w14:textId="1F9B2E3C" w:rsidR="00D048A9" w:rsidRPr="00D048A9" w:rsidRDefault="00D048A9" w:rsidP="001A321E">
            <w:pPr>
              <w:pStyle w:val="NoSpacing"/>
            </w:pPr>
            <w:r>
              <w:t>1.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5DC9ECC" w14:textId="6E85DAC3" w:rsidR="00D048A9" w:rsidRPr="00D048A9" w:rsidRDefault="00D048A9" w:rsidP="001A321E">
            <w:pPr>
              <w:pStyle w:val="NoSpacing"/>
            </w:pPr>
            <w:r w:rsidRPr="00D048A9">
              <w:t>_M00013165_to_M00145618.zip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6D2D225" w14:textId="74E3623C" w:rsidR="00D048A9" w:rsidRPr="00D048A9" w:rsidRDefault="00D048A9" w:rsidP="001A321E">
            <w:pPr>
              <w:pStyle w:val="NoSpacing"/>
            </w:pPr>
            <w:r>
              <w:t>2.</w:t>
            </w:r>
          </w:p>
        </w:tc>
        <w:tc>
          <w:tcPr>
            <w:tcW w:w="4325" w:type="dxa"/>
            <w:shd w:val="clear" w:color="auto" w:fill="F2F2F2" w:themeFill="background1" w:themeFillShade="F2"/>
          </w:tcPr>
          <w:p w14:paraId="7BC49A0C" w14:textId="75E6EB03" w:rsidR="00D048A9" w:rsidRPr="00D048A9" w:rsidRDefault="00D048A9" w:rsidP="001A321E">
            <w:pPr>
              <w:pStyle w:val="NoSpacing"/>
            </w:pPr>
            <w:r w:rsidRPr="00D048A9">
              <w:t>_M00145660_to_M00218577.zip</w:t>
            </w:r>
          </w:p>
        </w:tc>
      </w:tr>
      <w:tr w:rsidR="00D048A9" w:rsidRPr="00D048A9" w14:paraId="0BA8E1D1" w14:textId="77777777" w:rsidTr="00D048A9">
        <w:trPr>
          <w:jc w:val="center"/>
        </w:trPr>
        <w:tc>
          <w:tcPr>
            <w:tcW w:w="959" w:type="dxa"/>
          </w:tcPr>
          <w:p w14:paraId="717E0019" w14:textId="1F496C5F" w:rsidR="00D048A9" w:rsidRPr="00D048A9" w:rsidRDefault="00D048A9" w:rsidP="001A321E">
            <w:pPr>
              <w:pStyle w:val="NoSpacing"/>
            </w:pPr>
            <w:r>
              <w:t>3.</w:t>
            </w:r>
          </w:p>
        </w:tc>
        <w:tc>
          <w:tcPr>
            <w:tcW w:w="4111" w:type="dxa"/>
          </w:tcPr>
          <w:p w14:paraId="5C7A393B" w14:textId="7D3B92DC" w:rsidR="00D048A9" w:rsidRPr="00D048A9" w:rsidRDefault="00D048A9" w:rsidP="001A321E">
            <w:pPr>
              <w:pStyle w:val="NoSpacing"/>
            </w:pPr>
            <w:r w:rsidRPr="00D048A9">
              <w:t>_M00218786_to_M00286920.zip</w:t>
            </w:r>
          </w:p>
        </w:tc>
        <w:tc>
          <w:tcPr>
            <w:tcW w:w="567" w:type="dxa"/>
          </w:tcPr>
          <w:p w14:paraId="070814DB" w14:textId="466A3E43" w:rsidR="00D048A9" w:rsidRPr="00D048A9" w:rsidRDefault="00D048A9" w:rsidP="001A321E">
            <w:pPr>
              <w:pStyle w:val="NoSpacing"/>
            </w:pPr>
            <w:r>
              <w:t>4.</w:t>
            </w:r>
          </w:p>
        </w:tc>
        <w:tc>
          <w:tcPr>
            <w:tcW w:w="4325" w:type="dxa"/>
          </w:tcPr>
          <w:p w14:paraId="57F27615" w14:textId="50D49940" w:rsidR="00D048A9" w:rsidRPr="00D048A9" w:rsidRDefault="00D048A9" w:rsidP="001A321E">
            <w:pPr>
              <w:pStyle w:val="NoSpacing"/>
            </w:pPr>
            <w:r w:rsidRPr="00D048A9">
              <w:t>_M00286927_to_M00370330.zip</w:t>
            </w:r>
          </w:p>
        </w:tc>
      </w:tr>
      <w:tr w:rsidR="00D048A9" w:rsidRPr="00D048A9" w14:paraId="66B17AB4" w14:textId="77777777" w:rsidTr="00D048A9">
        <w:trPr>
          <w:jc w:val="center"/>
        </w:trPr>
        <w:tc>
          <w:tcPr>
            <w:tcW w:w="959" w:type="dxa"/>
            <w:shd w:val="clear" w:color="auto" w:fill="F2F2F2" w:themeFill="background1" w:themeFillShade="F2"/>
          </w:tcPr>
          <w:p w14:paraId="0DC8AD07" w14:textId="5ECF314E" w:rsidR="00D048A9" w:rsidRPr="00D048A9" w:rsidRDefault="00D048A9" w:rsidP="001A321E">
            <w:pPr>
              <w:pStyle w:val="NoSpacing"/>
            </w:pPr>
            <w:r>
              <w:t>5.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8EBCEC3" w14:textId="09D6BACB" w:rsidR="00D048A9" w:rsidRPr="00D048A9" w:rsidRDefault="00D048A9" w:rsidP="001A321E">
            <w:pPr>
              <w:pStyle w:val="NoSpacing"/>
            </w:pPr>
            <w:r w:rsidRPr="00D048A9">
              <w:t>_M00371702_to_M00491851.zip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F8CC65" w14:textId="507C2A29" w:rsidR="00D048A9" w:rsidRPr="00D048A9" w:rsidRDefault="00D048A9" w:rsidP="001A321E">
            <w:pPr>
              <w:pStyle w:val="NoSpacing"/>
            </w:pPr>
            <w:r>
              <w:t>6.</w:t>
            </w:r>
          </w:p>
        </w:tc>
        <w:tc>
          <w:tcPr>
            <w:tcW w:w="4325" w:type="dxa"/>
            <w:shd w:val="clear" w:color="auto" w:fill="F2F2F2" w:themeFill="background1" w:themeFillShade="F2"/>
          </w:tcPr>
          <w:p w14:paraId="396805C0" w14:textId="5C14B88C" w:rsidR="00D048A9" w:rsidRPr="00D048A9" w:rsidRDefault="00D048A9" w:rsidP="001A321E">
            <w:pPr>
              <w:pStyle w:val="NoSpacing"/>
            </w:pPr>
            <w:r w:rsidRPr="00D048A9">
              <w:t>_M00491852_to_M00617707.zip</w:t>
            </w:r>
          </w:p>
        </w:tc>
      </w:tr>
      <w:tr w:rsidR="00D048A9" w:rsidRPr="00D048A9" w14:paraId="154DB1ED" w14:textId="77777777" w:rsidTr="00D048A9">
        <w:trPr>
          <w:jc w:val="center"/>
        </w:trPr>
        <w:tc>
          <w:tcPr>
            <w:tcW w:w="959" w:type="dxa"/>
          </w:tcPr>
          <w:p w14:paraId="0A5E9DC1" w14:textId="4DA37166" w:rsidR="00D048A9" w:rsidRPr="00D048A9" w:rsidRDefault="00D048A9" w:rsidP="001A321E">
            <w:pPr>
              <w:pStyle w:val="NoSpacing"/>
            </w:pPr>
            <w:r>
              <w:t>7.</w:t>
            </w:r>
          </w:p>
        </w:tc>
        <w:tc>
          <w:tcPr>
            <w:tcW w:w="4111" w:type="dxa"/>
          </w:tcPr>
          <w:p w14:paraId="41BD3112" w14:textId="66A2B09E" w:rsidR="00D048A9" w:rsidRPr="00D048A9" w:rsidRDefault="00D048A9" w:rsidP="001A321E">
            <w:pPr>
              <w:pStyle w:val="NoSpacing"/>
            </w:pPr>
            <w:r w:rsidRPr="00D048A9">
              <w:t>_M00617709_to_M00754249.zip</w:t>
            </w:r>
          </w:p>
        </w:tc>
        <w:tc>
          <w:tcPr>
            <w:tcW w:w="567" w:type="dxa"/>
          </w:tcPr>
          <w:p w14:paraId="287A442B" w14:textId="5A642F6C" w:rsidR="00D048A9" w:rsidRPr="00D048A9" w:rsidRDefault="00D048A9" w:rsidP="001A321E">
            <w:pPr>
              <w:pStyle w:val="NoSpacing"/>
            </w:pPr>
            <w:r>
              <w:t>8.</w:t>
            </w:r>
          </w:p>
        </w:tc>
        <w:tc>
          <w:tcPr>
            <w:tcW w:w="4325" w:type="dxa"/>
          </w:tcPr>
          <w:p w14:paraId="121045AD" w14:textId="60C609FE" w:rsidR="00D048A9" w:rsidRPr="00D048A9" w:rsidRDefault="00D048A9" w:rsidP="001A321E">
            <w:pPr>
              <w:pStyle w:val="NoSpacing"/>
            </w:pPr>
            <w:r w:rsidRPr="00D048A9">
              <w:t>_M00754250_to_M00889693.zip</w:t>
            </w:r>
          </w:p>
        </w:tc>
      </w:tr>
      <w:tr w:rsidR="00D048A9" w:rsidRPr="00D048A9" w14:paraId="19060BD9" w14:textId="77777777" w:rsidTr="00D048A9">
        <w:trPr>
          <w:jc w:val="center"/>
        </w:trPr>
        <w:tc>
          <w:tcPr>
            <w:tcW w:w="959" w:type="dxa"/>
            <w:shd w:val="clear" w:color="auto" w:fill="F2F2F2" w:themeFill="background1" w:themeFillShade="F2"/>
          </w:tcPr>
          <w:p w14:paraId="48EBD092" w14:textId="12423DC2" w:rsidR="00D048A9" w:rsidRPr="00D048A9" w:rsidRDefault="00D048A9" w:rsidP="001A321E">
            <w:pPr>
              <w:pStyle w:val="NoSpacing"/>
            </w:pPr>
            <w:r>
              <w:t>9.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0AF8DCA" w14:textId="6AD6AE5B" w:rsidR="00D048A9" w:rsidRPr="00D048A9" w:rsidRDefault="00D048A9" w:rsidP="001A321E">
            <w:pPr>
              <w:pStyle w:val="NoSpacing"/>
            </w:pPr>
            <w:r w:rsidRPr="00D048A9">
              <w:t>_M00889694_to_M01025210.zip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792EEC" w14:textId="56140DD9" w:rsidR="00D048A9" w:rsidRPr="00D048A9" w:rsidRDefault="00D048A9" w:rsidP="001A321E">
            <w:pPr>
              <w:pStyle w:val="NoSpacing"/>
            </w:pPr>
            <w:r>
              <w:t>10.</w:t>
            </w:r>
          </w:p>
        </w:tc>
        <w:tc>
          <w:tcPr>
            <w:tcW w:w="4325" w:type="dxa"/>
            <w:shd w:val="clear" w:color="auto" w:fill="F2F2F2" w:themeFill="background1" w:themeFillShade="F2"/>
          </w:tcPr>
          <w:p w14:paraId="49DF5D2B" w14:textId="7595F8DD" w:rsidR="00D048A9" w:rsidRPr="00D048A9" w:rsidRDefault="00D048A9" w:rsidP="001A321E">
            <w:pPr>
              <w:pStyle w:val="NoSpacing"/>
            </w:pPr>
            <w:r w:rsidRPr="00D048A9">
              <w:t>_M01025211_to_M01164518.zip</w:t>
            </w:r>
          </w:p>
        </w:tc>
      </w:tr>
      <w:tr w:rsidR="00D048A9" w:rsidRPr="00D048A9" w14:paraId="7D41CA95" w14:textId="77777777" w:rsidTr="00D048A9">
        <w:trPr>
          <w:jc w:val="center"/>
        </w:trPr>
        <w:tc>
          <w:tcPr>
            <w:tcW w:w="959" w:type="dxa"/>
          </w:tcPr>
          <w:p w14:paraId="26807E09" w14:textId="1247FDF1" w:rsidR="00D048A9" w:rsidRPr="00D048A9" w:rsidRDefault="00D048A9" w:rsidP="001A321E">
            <w:pPr>
              <w:pStyle w:val="NoSpacing"/>
            </w:pPr>
            <w:r>
              <w:t>11.</w:t>
            </w:r>
          </w:p>
        </w:tc>
        <w:tc>
          <w:tcPr>
            <w:tcW w:w="4111" w:type="dxa"/>
          </w:tcPr>
          <w:p w14:paraId="1801336A" w14:textId="19AD4017" w:rsidR="00D048A9" w:rsidRPr="00D048A9" w:rsidRDefault="00D048A9" w:rsidP="001A321E">
            <w:pPr>
              <w:pStyle w:val="NoSpacing"/>
            </w:pPr>
            <w:r w:rsidRPr="00D048A9">
              <w:t>_M01164520_to_M01328136.zip</w:t>
            </w:r>
          </w:p>
        </w:tc>
        <w:tc>
          <w:tcPr>
            <w:tcW w:w="567" w:type="dxa"/>
          </w:tcPr>
          <w:p w14:paraId="45BB96CD" w14:textId="15576D98" w:rsidR="00D048A9" w:rsidRPr="00D048A9" w:rsidRDefault="00D048A9" w:rsidP="001A321E">
            <w:pPr>
              <w:pStyle w:val="NoSpacing"/>
            </w:pPr>
            <w:r>
              <w:t>12.</w:t>
            </w:r>
          </w:p>
        </w:tc>
        <w:tc>
          <w:tcPr>
            <w:tcW w:w="4325" w:type="dxa"/>
          </w:tcPr>
          <w:p w14:paraId="011E2A1A" w14:textId="6509D84B" w:rsidR="00D048A9" w:rsidRPr="00D048A9" w:rsidRDefault="00D048A9" w:rsidP="001A321E">
            <w:pPr>
              <w:pStyle w:val="NoSpacing"/>
            </w:pPr>
            <w:r w:rsidRPr="00D048A9">
              <w:t>_M01328137_to_M01470166.zip</w:t>
            </w:r>
          </w:p>
        </w:tc>
      </w:tr>
      <w:tr w:rsidR="00D048A9" w:rsidRPr="00D048A9" w14:paraId="6EC14216" w14:textId="77777777" w:rsidTr="00D048A9">
        <w:trPr>
          <w:jc w:val="center"/>
        </w:trPr>
        <w:tc>
          <w:tcPr>
            <w:tcW w:w="959" w:type="dxa"/>
            <w:shd w:val="clear" w:color="auto" w:fill="F2F2F2" w:themeFill="background1" w:themeFillShade="F2"/>
          </w:tcPr>
          <w:p w14:paraId="21955CCC" w14:textId="6EE5BE72" w:rsidR="00D048A9" w:rsidRPr="00D048A9" w:rsidRDefault="00D048A9" w:rsidP="001A321E">
            <w:pPr>
              <w:pStyle w:val="NoSpacing"/>
            </w:pPr>
            <w:r>
              <w:t>13.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005BD99" w14:textId="2A6FE448" w:rsidR="00D048A9" w:rsidRPr="00D048A9" w:rsidRDefault="00D048A9" w:rsidP="001A321E">
            <w:pPr>
              <w:pStyle w:val="NoSpacing"/>
            </w:pPr>
            <w:r w:rsidRPr="00D048A9">
              <w:t>_M01470167_to_M01623523.zip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C79BDE3" w14:textId="48C053B0" w:rsidR="00D048A9" w:rsidRPr="00D048A9" w:rsidRDefault="00D048A9" w:rsidP="001A321E">
            <w:pPr>
              <w:pStyle w:val="NoSpacing"/>
            </w:pPr>
            <w:r>
              <w:t>14.</w:t>
            </w:r>
          </w:p>
        </w:tc>
        <w:tc>
          <w:tcPr>
            <w:tcW w:w="4325" w:type="dxa"/>
            <w:shd w:val="clear" w:color="auto" w:fill="F2F2F2" w:themeFill="background1" w:themeFillShade="F2"/>
          </w:tcPr>
          <w:p w14:paraId="57478B8B" w14:textId="48952358" w:rsidR="00D048A9" w:rsidRPr="00D048A9" w:rsidRDefault="00D048A9" w:rsidP="001A321E">
            <w:pPr>
              <w:pStyle w:val="NoSpacing"/>
            </w:pPr>
            <w:r w:rsidRPr="00D048A9">
              <w:t>_M01623527_to_M01745797.zip</w:t>
            </w:r>
          </w:p>
        </w:tc>
      </w:tr>
      <w:tr w:rsidR="00D048A9" w:rsidRPr="00D048A9" w14:paraId="62D5F651" w14:textId="77777777" w:rsidTr="00D048A9">
        <w:trPr>
          <w:jc w:val="center"/>
        </w:trPr>
        <w:tc>
          <w:tcPr>
            <w:tcW w:w="959" w:type="dxa"/>
          </w:tcPr>
          <w:p w14:paraId="322FE0C7" w14:textId="7EC80895" w:rsidR="00D048A9" w:rsidRPr="00D048A9" w:rsidRDefault="00D048A9" w:rsidP="001A321E">
            <w:pPr>
              <w:pStyle w:val="NoSpacing"/>
            </w:pPr>
            <w:r>
              <w:t>15.</w:t>
            </w:r>
          </w:p>
        </w:tc>
        <w:tc>
          <w:tcPr>
            <w:tcW w:w="4111" w:type="dxa"/>
          </w:tcPr>
          <w:p w14:paraId="07114A18" w14:textId="7A15D240" w:rsidR="00D048A9" w:rsidRPr="00D048A9" w:rsidRDefault="00D048A9" w:rsidP="001A321E">
            <w:pPr>
              <w:pStyle w:val="NoSpacing"/>
            </w:pPr>
            <w:r w:rsidRPr="00D048A9">
              <w:t>_M01745798_to_M01867451.zip</w:t>
            </w:r>
          </w:p>
        </w:tc>
        <w:tc>
          <w:tcPr>
            <w:tcW w:w="567" w:type="dxa"/>
          </w:tcPr>
          <w:p w14:paraId="2D7CA0AB" w14:textId="158C7710" w:rsidR="00D048A9" w:rsidRPr="00D048A9" w:rsidRDefault="00D048A9" w:rsidP="001A321E">
            <w:pPr>
              <w:pStyle w:val="NoSpacing"/>
            </w:pPr>
            <w:r>
              <w:t>16.</w:t>
            </w:r>
          </w:p>
        </w:tc>
        <w:tc>
          <w:tcPr>
            <w:tcW w:w="4325" w:type="dxa"/>
          </w:tcPr>
          <w:p w14:paraId="3D543730" w14:textId="05767BEB" w:rsidR="00D048A9" w:rsidRPr="00D048A9" w:rsidRDefault="00D048A9" w:rsidP="001A321E">
            <w:pPr>
              <w:pStyle w:val="NoSpacing"/>
            </w:pPr>
            <w:r w:rsidRPr="00D048A9">
              <w:t>_M01867816_to_M02001583.zip</w:t>
            </w:r>
          </w:p>
        </w:tc>
      </w:tr>
      <w:tr w:rsidR="00D048A9" w:rsidRPr="00D048A9" w14:paraId="3B4917CC" w14:textId="77777777" w:rsidTr="00D048A9">
        <w:trPr>
          <w:jc w:val="center"/>
        </w:trPr>
        <w:tc>
          <w:tcPr>
            <w:tcW w:w="959" w:type="dxa"/>
            <w:shd w:val="clear" w:color="auto" w:fill="F2F2F2" w:themeFill="background1" w:themeFillShade="F2"/>
          </w:tcPr>
          <w:p w14:paraId="2FF73BAE" w14:textId="5AFE2EFE" w:rsidR="00D048A9" w:rsidRPr="00D048A9" w:rsidRDefault="00D048A9" w:rsidP="001A321E">
            <w:pPr>
              <w:pStyle w:val="NoSpacing"/>
            </w:pPr>
            <w:r>
              <w:t>17.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5575F03" w14:textId="71CF1220" w:rsidR="00D048A9" w:rsidRPr="00D048A9" w:rsidRDefault="00D048A9" w:rsidP="001A321E">
            <w:pPr>
              <w:pStyle w:val="NoSpacing"/>
            </w:pPr>
            <w:r w:rsidRPr="00D048A9">
              <w:t>_M02001765_to_M02135571.zip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2D314E" w14:textId="7974EBF1" w:rsidR="00D048A9" w:rsidRPr="00D048A9" w:rsidRDefault="00D048A9" w:rsidP="001A321E">
            <w:pPr>
              <w:pStyle w:val="NoSpacing"/>
            </w:pPr>
            <w:r>
              <w:t>18.</w:t>
            </w:r>
          </w:p>
        </w:tc>
        <w:tc>
          <w:tcPr>
            <w:tcW w:w="4325" w:type="dxa"/>
            <w:shd w:val="clear" w:color="auto" w:fill="F2F2F2" w:themeFill="background1" w:themeFillShade="F2"/>
          </w:tcPr>
          <w:p w14:paraId="43E4CAE9" w14:textId="212C7FBD" w:rsidR="00D048A9" w:rsidRPr="00D048A9" w:rsidRDefault="00D048A9" w:rsidP="001A321E">
            <w:pPr>
              <w:pStyle w:val="NoSpacing"/>
            </w:pPr>
            <w:r w:rsidRPr="00D048A9">
              <w:t>_M02135572_to_M02271105.zip</w:t>
            </w:r>
          </w:p>
        </w:tc>
      </w:tr>
      <w:tr w:rsidR="00D048A9" w:rsidRPr="00D048A9" w14:paraId="2672745B" w14:textId="77777777" w:rsidTr="00D048A9">
        <w:trPr>
          <w:jc w:val="center"/>
        </w:trPr>
        <w:tc>
          <w:tcPr>
            <w:tcW w:w="959" w:type="dxa"/>
          </w:tcPr>
          <w:p w14:paraId="7097D839" w14:textId="645DB1A5" w:rsidR="00D048A9" w:rsidRPr="00D048A9" w:rsidRDefault="00D048A9" w:rsidP="001A321E">
            <w:pPr>
              <w:pStyle w:val="NoSpacing"/>
            </w:pPr>
            <w:r>
              <w:t>19.</w:t>
            </w:r>
          </w:p>
        </w:tc>
        <w:tc>
          <w:tcPr>
            <w:tcW w:w="4111" w:type="dxa"/>
          </w:tcPr>
          <w:p w14:paraId="7E22CE10" w14:textId="3AB944F9" w:rsidR="00D048A9" w:rsidRPr="00D048A9" w:rsidRDefault="00D048A9" w:rsidP="001A321E">
            <w:pPr>
              <w:pStyle w:val="NoSpacing"/>
            </w:pPr>
            <w:r w:rsidRPr="00D048A9">
              <w:t>_M02271106_to_M02405362.zip</w:t>
            </w:r>
          </w:p>
        </w:tc>
        <w:tc>
          <w:tcPr>
            <w:tcW w:w="567" w:type="dxa"/>
          </w:tcPr>
          <w:p w14:paraId="3FC0C670" w14:textId="77777777" w:rsidR="00D048A9" w:rsidRPr="00D048A9" w:rsidRDefault="00D048A9" w:rsidP="001A321E">
            <w:pPr>
              <w:pStyle w:val="NoSpacing"/>
            </w:pPr>
          </w:p>
        </w:tc>
        <w:tc>
          <w:tcPr>
            <w:tcW w:w="4325" w:type="dxa"/>
          </w:tcPr>
          <w:p w14:paraId="18483DAA" w14:textId="37C9474A" w:rsidR="00D048A9" w:rsidRPr="00D048A9" w:rsidRDefault="00D048A9" w:rsidP="001A321E">
            <w:pPr>
              <w:pStyle w:val="NoSpacing"/>
            </w:pPr>
          </w:p>
        </w:tc>
      </w:tr>
    </w:tbl>
    <w:p w14:paraId="193EFAC2" w14:textId="500BAFC3" w:rsidR="004331A4" w:rsidRDefault="004331A4" w:rsidP="001A321E">
      <w:pPr>
        <w:pStyle w:val="NoSpacing"/>
      </w:pPr>
    </w:p>
    <w:p w14:paraId="21AB12FF" w14:textId="1A58E70C" w:rsidR="004331A4" w:rsidRPr="001A321E" w:rsidRDefault="004331A4" w:rsidP="001A321E">
      <w:pPr>
        <w:pStyle w:val="NoSpacing"/>
        <w:numPr>
          <w:ilvl w:val="0"/>
          <w:numId w:val="6"/>
        </w:numPr>
        <w:rPr>
          <w:b/>
        </w:rPr>
      </w:pPr>
      <w:r w:rsidRPr="001A321E">
        <w:rPr>
          <w:b/>
        </w:rPr>
        <w:t>Information within “</w:t>
      </w:r>
      <w:proofErr w:type="spellStart"/>
      <w:r w:rsidRPr="001A321E">
        <w:rPr>
          <w:b/>
        </w:rPr>
        <w:t>ABR_RESOURCE_Datafile</w:t>
      </w:r>
      <w:proofErr w:type="spellEnd"/>
      <w:r w:rsidRPr="001A321E">
        <w:rPr>
          <w:b/>
        </w:rPr>
        <w:t xml:space="preserve"> Annotation.xlsx”</w:t>
      </w:r>
    </w:p>
    <w:p w14:paraId="1BD65FAE" w14:textId="77777777" w:rsidR="001A321E" w:rsidRDefault="001A321E" w:rsidP="001A321E">
      <w:pPr>
        <w:pStyle w:val="NoSpacing"/>
      </w:pPr>
    </w:p>
    <w:p w14:paraId="0BC8D0C1" w14:textId="63E54EF5" w:rsidR="00507260" w:rsidRDefault="00507260" w:rsidP="001A321E">
      <w:pPr>
        <w:pStyle w:val="NoSpacing"/>
        <w:jc w:val="both"/>
      </w:pPr>
      <w:r w:rsidRPr="00507260">
        <w:t xml:space="preserve">The </w:t>
      </w:r>
      <w:r>
        <w:t xml:space="preserve">file contains 2 worksheets, named </w:t>
      </w:r>
      <w:r w:rsidRPr="00507260">
        <w:t xml:space="preserve">"M02405362" </w:t>
      </w:r>
      <w:r>
        <w:t xml:space="preserve">and “Annotation”. </w:t>
      </w:r>
    </w:p>
    <w:p w14:paraId="46C7AB36" w14:textId="77777777" w:rsidR="001A321E" w:rsidRPr="00507260" w:rsidRDefault="001A321E" w:rsidP="001A321E">
      <w:pPr>
        <w:pStyle w:val="NoSpacing"/>
        <w:jc w:val="both"/>
      </w:pPr>
    </w:p>
    <w:p w14:paraId="31FD240D" w14:textId="04F3E1B1" w:rsidR="00507260" w:rsidRDefault="00BB363C" w:rsidP="001A321E">
      <w:pPr>
        <w:pStyle w:val="NoSpacing"/>
        <w:jc w:val="both"/>
        <w:rPr>
          <w:rFonts w:ascii="Calibri" w:eastAsia="Times New Roman" w:hAnsi="Calibri" w:cs="Times New Roman"/>
          <w:color w:val="000000"/>
          <w:lang w:eastAsia="en-GB"/>
        </w:rPr>
      </w:pPr>
      <w:r>
        <w:t xml:space="preserve">The worksheet named </w:t>
      </w:r>
      <w:r w:rsidR="00507260" w:rsidRPr="00507260">
        <w:t xml:space="preserve">"M02405362" gives an example of </w:t>
      </w:r>
      <w:r w:rsidR="00BA479D">
        <w:t xml:space="preserve">the custom </w:t>
      </w:r>
      <w:r w:rsidR="00507260" w:rsidRPr="00507260">
        <w:t>"csv" data</w:t>
      </w:r>
      <w:r w:rsidR="00BA479D">
        <w:t xml:space="preserve">file generated from the ABR </w:t>
      </w:r>
      <w:r w:rsidR="00507260" w:rsidRPr="00507260">
        <w:t>record</w:t>
      </w:r>
      <w:r w:rsidR="00BA479D">
        <w:t>ing software.</w:t>
      </w:r>
      <w:r>
        <w:t xml:space="preserve"> </w:t>
      </w:r>
      <w:r w:rsidR="00BA479D">
        <w:t xml:space="preserve">The </w:t>
      </w:r>
      <w:r>
        <w:t>data</w:t>
      </w:r>
      <w:r w:rsidR="00BA479D">
        <w:t xml:space="preserve">file contains blocks of recorded data and metadata, each block starting with a row containing </w:t>
      </w:r>
      <w:r w:rsidR="00BA479D" w:rsidRPr="00BA479D">
        <w:rPr>
          <w:rFonts w:ascii="Calibri" w:eastAsia="Times New Roman" w:hAnsi="Calibri" w:cs="Times New Roman"/>
          <w:color w:val="000000"/>
          <w:lang w:eastAsia="en-GB"/>
        </w:rPr>
        <w:t>[</w:t>
      </w:r>
      <w:proofErr w:type="spellStart"/>
      <w:r w:rsidR="00BA479D" w:rsidRPr="00BA479D">
        <w:rPr>
          <w:rFonts w:ascii="Calibri" w:eastAsia="Times New Roman" w:hAnsi="Calibri" w:cs="Times New Roman"/>
          <w:color w:val="000000"/>
          <w:lang w:eastAsia="en-GB"/>
        </w:rPr>
        <w:t>Trace_</w:t>
      </w:r>
      <w:r w:rsidR="00BA479D">
        <w:rPr>
          <w:rFonts w:ascii="Calibri" w:eastAsia="Times New Roman" w:hAnsi="Calibri" w:cs="Times New Roman"/>
          <w:color w:val="000000"/>
          <w:lang w:eastAsia="en-GB"/>
        </w:rPr>
        <w:t>X</w:t>
      </w:r>
      <w:proofErr w:type="spellEnd"/>
      <w:r w:rsidR="00BA479D" w:rsidRPr="00BA479D">
        <w:rPr>
          <w:rFonts w:ascii="Calibri" w:eastAsia="Times New Roman" w:hAnsi="Calibri" w:cs="Times New Roman"/>
          <w:color w:val="000000"/>
          <w:lang w:eastAsia="en-GB"/>
        </w:rPr>
        <w:t xml:space="preserve">] </w:t>
      </w:r>
      <w:r w:rsidR="00BA479D">
        <w:rPr>
          <w:rFonts w:ascii="Calibri" w:eastAsia="Times New Roman" w:hAnsi="Calibri" w:cs="Times New Roman"/>
          <w:color w:val="000000"/>
          <w:lang w:eastAsia="en-GB"/>
        </w:rPr>
        <w:t>in the first column. Subsequent blocks are labelled with incrementing X-values.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Related cells in the first 2 blocks are colour-coded, to help with cross-referencing to the “Annotation” worksheet.</w:t>
      </w:r>
    </w:p>
    <w:p w14:paraId="75001E04" w14:textId="77777777" w:rsidR="001A321E" w:rsidRPr="00507260" w:rsidRDefault="001A321E" w:rsidP="001A321E">
      <w:pPr>
        <w:pStyle w:val="NoSpacing"/>
        <w:jc w:val="both"/>
      </w:pPr>
    </w:p>
    <w:p w14:paraId="1BF3B3F3" w14:textId="10015EE1" w:rsidR="000650DC" w:rsidRDefault="00507260" w:rsidP="001A321E">
      <w:pPr>
        <w:pStyle w:val="NoSpacing"/>
        <w:jc w:val="both"/>
      </w:pPr>
      <w:r w:rsidRPr="00507260">
        <w:t xml:space="preserve">The worksheet named "Annotation" gives a description of the cell contents of the first </w:t>
      </w:r>
      <w:r w:rsidR="00BB363C">
        <w:t>2 blocks of data shown in</w:t>
      </w:r>
      <w:r w:rsidRPr="00507260">
        <w:t xml:space="preserve"> sheet "M02405362"</w:t>
      </w:r>
      <w:r w:rsidR="00BB363C">
        <w:t>. C</w:t>
      </w:r>
      <w:r w:rsidRPr="00507260">
        <w:t>ell references maintained between sheets</w:t>
      </w:r>
      <w:r w:rsidR="00BB363C">
        <w:t>, such that “</w:t>
      </w:r>
      <w:proofErr w:type="gramStart"/>
      <w:r w:rsidRPr="00507260">
        <w:t>Annotation!A</w:t>
      </w:r>
      <w:proofErr w:type="gramEnd"/>
      <w:r w:rsidRPr="00507260">
        <w:t>1</w:t>
      </w:r>
      <w:r w:rsidR="00BB363C">
        <w:t>”</w:t>
      </w:r>
      <w:r w:rsidRPr="00507260">
        <w:t xml:space="preserve"> describes the contents of </w:t>
      </w:r>
      <w:r w:rsidR="00BB363C">
        <w:t>“</w:t>
      </w:r>
      <w:r w:rsidRPr="00507260">
        <w:t>M02405362!A1</w:t>
      </w:r>
      <w:r w:rsidR="00BB363C">
        <w:t>”, etc.</w:t>
      </w:r>
      <w:r w:rsidR="001A321E">
        <w:t xml:space="preserve"> Cells and rows are colour-coded, with related information grouped together by colour. The contents of each cell give a description of the contents of the equivalent </w:t>
      </w:r>
      <w:r w:rsidR="001A321E">
        <w:lastRenderedPageBreak/>
        <w:t>cell in the datafile worksheet (</w:t>
      </w:r>
      <w:r w:rsidR="001A321E" w:rsidRPr="00507260">
        <w:t>M02405362</w:t>
      </w:r>
      <w:r w:rsidR="001A321E">
        <w:t>), to allow the user to understand the structure of the csv-datafiles provided in the various zip-files, and to facilitate their reconstruction of the ABR dataset and perform their own analyses on these data.</w:t>
      </w:r>
    </w:p>
    <w:p w14:paraId="208C72C5" w14:textId="77777777" w:rsidR="001A321E" w:rsidRPr="000650DC" w:rsidRDefault="001A321E" w:rsidP="001A321E">
      <w:pPr>
        <w:pStyle w:val="NoSpacing"/>
        <w:jc w:val="both"/>
      </w:pPr>
    </w:p>
    <w:p w14:paraId="2AAEC0FD" w14:textId="77777777" w:rsidR="000650DC" w:rsidRPr="001A321E" w:rsidRDefault="000650DC" w:rsidP="001A321E">
      <w:pPr>
        <w:pStyle w:val="NoSpacing"/>
        <w:numPr>
          <w:ilvl w:val="0"/>
          <w:numId w:val="6"/>
        </w:numPr>
        <w:jc w:val="both"/>
        <w:rPr>
          <w:b/>
        </w:rPr>
      </w:pPr>
      <w:r w:rsidRPr="001A321E">
        <w:rPr>
          <w:b/>
        </w:rPr>
        <w:t>Information within “</w:t>
      </w:r>
      <w:proofErr w:type="spellStart"/>
      <w:r w:rsidRPr="001A321E">
        <w:rPr>
          <w:b/>
        </w:rPr>
        <w:t>ABR_RESOURCE_Mouse</w:t>
      </w:r>
      <w:proofErr w:type="spellEnd"/>
      <w:r w:rsidRPr="001A321E">
        <w:rPr>
          <w:b/>
        </w:rPr>
        <w:t xml:space="preserve"> ID.xlsx”</w:t>
      </w:r>
    </w:p>
    <w:p w14:paraId="0A214F63" w14:textId="77777777" w:rsidR="001A321E" w:rsidRPr="004331A4" w:rsidRDefault="001A321E" w:rsidP="001A321E">
      <w:pPr>
        <w:pStyle w:val="NoSpacing"/>
        <w:jc w:val="both"/>
      </w:pPr>
    </w:p>
    <w:p w14:paraId="0D2E7345" w14:textId="77777777" w:rsidR="000650DC" w:rsidRDefault="000650DC" w:rsidP="001A321E">
      <w:pPr>
        <w:pStyle w:val="NoSpacing"/>
        <w:jc w:val="both"/>
      </w:pPr>
      <w:r>
        <w:t xml:space="preserve">Three phenotyping pipelines were followed (named “MGP Pipeline 2”, Mouse GP” and “MGP Select”, as detailed in Ingham </w:t>
      </w:r>
      <w:r w:rsidRPr="00A16219">
        <w:rPr>
          <w:i/>
        </w:rPr>
        <w:t>et al.</w:t>
      </w:r>
      <w:r>
        <w:t xml:space="preserve"> 2018) and information for mice tested on each pipeline are kept in separate worksheets, labelled “Pipeline2 Controls”, “Pipeline2 Mutants”, “</w:t>
      </w:r>
      <w:proofErr w:type="spellStart"/>
      <w:r>
        <w:t>MouseGP</w:t>
      </w:r>
      <w:proofErr w:type="spellEnd"/>
      <w:r>
        <w:t xml:space="preserve"> Controls”, “Mouse GP Mutants”, “MGP Select Controls” and “MGP Select Mutants”.</w:t>
      </w:r>
    </w:p>
    <w:p w14:paraId="471BB806" w14:textId="77777777" w:rsidR="001A321E" w:rsidRDefault="001A321E" w:rsidP="001A321E">
      <w:pPr>
        <w:pStyle w:val="NoSpacing"/>
        <w:jc w:val="both"/>
      </w:pPr>
    </w:p>
    <w:p w14:paraId="4A08CAE0" w14:textId="77777777" w:rsidR="000650DC" w:rsidRDefault="000650DC" w:rsidP="001A321E">
      <w:pPr>
        <w:pStyle w:val="NoSpacing"/>
        <w:jc w:val="both"/>
      </w:pPr>
      <w:r>
        <w:t>In the “Controls” worksheets, mice are grouped into blocks (separated by yellow rows) of similar genetic background. For some of the positive control lines, heterozygote mice were used as controls.</w:t>
      </w:r>
    </w:p>
    <w:p w14:paraId="0D6F8A76" w14:textId="77777777" w:rsidR="001A321E" w:rsidRDefault="001A321E" w:rsidP="001A321E">
      <w:pPr>
        <w:pStyle w:val="NoSpacing"/>
        <w:jc w:val="both"/>
      </w:pPr>
    </w:p>
    <w:p w14:paraId="4E5BBEAD" w14:textId="77777777" w:rsidR="000650DC" w:rsidRDefault="000650DC" w:rsidP="001A321E">
      <w:pPr>
        <w:pStyle w:val="NoSpacing"/>
        <w:jc w:val="both"/>
      </w:pPr>
      <w:r>
        <w:t>In the “Mutants” worksheets, mice are grouped into blocks of 16 rows (separated by grey rows). Each block contains mice of the same genotype. For some genes / alleles, mice that were either heterozygote or homozygote for the targeted allele were tested.</w:t>
      </w:r>
    </w:p>
    <w:p w14:paraId="0B1F80E6" w14:textId="77777777" w:rsidR="001A321E" w:rsidRDefault="001A321E" w:rsidP="001A321E">
      <w:pPr>
        <w:pStyle w:val="NoSpacing"/>
        <w:jc w:val="both"/>
      </w:pPr>
    </w:p>
    <w:p w14:paraId="30AEE1BE" w14:textId="77777777" w:rsidR="000650DC" w:rsidRDefault="000650DC" w:rsidP="001A321E">
      <w:pPr>
        <w:pStyle w:val="NoSpacing"/>
        <w:jc w:val="both"/>
      </w:pPr>
      <w:r>
        <w:t xml:space="preserve">The worksheets contain the following metadata, in columns from left-right across each </w:t>
      </w:r>
      <w:proofErr w:type="gramStart"/>
      <w:r>
        <w:t>sheet :</w:t>
      </w:r>
      <w:proofErr w:type="gramEnd"/>
      <w:r>
        <w:t>-</w:t>
      </w:r>
    </w:p>
    <w:p w14:paraId="52A0BB97" w14:textId="77777777" w:rsidR="001A321E" w:rsidRDefault="001A321E" w:rsidP="001A321E">
      <w:pPr>
        <w:pStyle w:val="NoSpacing"/>
        <w:jc w:val="both"/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0650DC" w14:paraId="6D54C403" w14:textId="77777777" w:rsidTr="001A321E">
        <w:tc>
          <w:tcPr>
            <w:tcW w:w="2122" w:type="dxa"/>
            <w:shd w:val="clear" w:color="auto" w:fill="F2F2F2" w:themeFill="background1" w:themeFillShade="F2"/>
          </w:tcPr>
          <w:p w14:paraId="40170945" w14:textId="77777777" w:rsidR="000650DC" w:rsidRPr="001A321E" w:rsidRDefault="000650DC" w:rsidP="001A321E">
            <w:pPr>
              <w:pStyle w:val="NoSpacing"/>
              <w:rPr>
                <w:b/>
              </w:rPr>
            </w:pPr>
            <w:r w:rsidRPr="001A321E">
              <w:rPr>
                <w:b/>
              </w:rPr>
              <w:t>Colony Prefix</w:t>
            </w:r>
          </w:p>
        </w:tc>
        <w:tc>
          <w:tcPr>
            <w:tcW w:w="7767" w:type="dxa"/>
            <w:shd w:val="clear" w:color="auto" w:fill="F2F2F2" w:themeFill="background1" w:themeFillShade="F2"/>
          </w:tcPr>
          <w:p w14:paraId="4ECB6E56" w14:textId="77777777" w:rsidR="000650DC" w:rsidRDefault="000650DC" w:rsidP="001A321E">
            <w:pPr>
              <w:pStyle w:val="NoSpacing"/>
              <w:jc w:val="both"/>
            </w:pPr>
            <w:r>
              <w:t>A 4-letter code to uniquely identify each mouse colony.</w:t>
            </w:r>
          </w:p>
        </w:tc>
      </w:tr>
      <w:tr w:rsidR="000650DC" w14:paraId="246AF0D6" w14:textId="77777777" w:rsidTr="001A321E">
        <w:tc>
          <w:tcPr>
            <w:tcW w:w="2122" w:type="dxa"/>
          </w:tcPr>
          <w:p w14:paraId="67F0A112" w14:textId="77777777" w:rsidR="000650DC" w:rsidRPr="001A321E" w:rsidRDefault="000650DC" w:rsidP="001A321E">
            <w:pPr>
              <w:pStyle w:val="NoSpacing"/>
              <w:rPr>
                <w:b/>
              </w:rPr>
            </w:pPr>
            <w:r w:rsidRPr="001A321E">
              <w:rPr>
                <w:b/>
              </w:rPr>
              <w:t>Mouse Barcode</w:t>
            </w:r>
            <w:r w:rsidRPr="001A321E">
              <w:rPr>
                <w:b/>
              </w:rPr>
              <w:tab/>
            </w:r>
          </w:p>
        </w:tc>
        <w:tc>
          <w:tcPr>
            <w:tcW w:w="7767" w:type="dxa"/>
          </w:tcPr>
          <w:p w14:paraId="156024A8" w14:textId="77777777" w:rsidR="000650DC" w:rsidRDefault="000650DC" w:rsidP="001A321E">
            <w:pPr>
              <w:pStyle w:val="NoSpacing"/>
              <w:jc w:val="both"/>
            </w:pPr>
            <w:r>
              <w:t>A unique code to identify each mouse (</w:t>
            </w:r>
            <w:r w:rsidRPr="00180A8D">
              <w:t xml:space="preserve">also used as the </w:t>
            </w:r>
            <w:r w:rsidRPr="001A321E">
              <w:rPr>
                <w:b/>
              </w:rPr>
              <w:t>ABR data filename</w:t>
            </w:r>
            <w:r>
              <w:t>).</w:t>
            </w:r>
          </w:p>
        </w:tc>
      </w:tr>
      <w:tr w:rsidR="000650DC" w14:paraId="18D43835" w14:textId="77777777" w:rsidTr="001A321E">
        <w:tc>
          <w:tcPr>
            <w:tcW w:w="2122" w:type="dxa"/>
            <w:shd w:val="clear" w:color="auto" w:fill="F2F2F2" w:themeFill="background1" w:themeFillShade="F2"/>
          </w:tcPr>
          <w:p w14:paraId="35A6173C" w14:textId="77777777" w:rsidR="000650DC" w:rsidRPr="001A321E" w:rsidRDefault="000650DC" w:rsidP="001A321E">
            <w:pPr>
              <w:pStyle w:val="NoSpacing"/>
              <w:rPr>
                <w:b/>
              </w:rPr>
            </w:pPr>
            <w:r w:rsidRPr="001A321E">
              <w:rPr>
                <w:b/>
              </w:rPr>
              <w:t>Mouse Name</w:t>
            </w:r>
          </w:p>
        </w:tc>
        <w:tc>
          <w:tcPr>
            <w:tcW w:w="7767" w:type="dxa"/>
            <w:shd w:val="clear" w:color="auto" w:fill="F2F2F2" w:themeFill="background1" w:themeFillShade="F2"/>
          </w:tcPr>
          <w:p w14:paraId="3FD63C4D" w14:textId="77777777" w:rsidR="000650DC" w:rsidRPr="00180A8D" w:rsidRDefault="000650DC" w:rsidP="001A321E">
            <w:pPr>
              <w:pStyle w:val="NoSpacing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A second unique identifier for each mouse (</w:t>
            </w:r>
            <w:proofErr w:type="spellStart"/>
            <w:r>
              <w:t>eg.</w:t>
            </w:r>
            <w:proofErr w:type="spellEnd"/>
            <w:r>
              <w:t xml:space="preserve"> </w:t>
            </w:r>
            <w:r w:rsidRPr="009C2E97">
              <w:rPr>
                <w:rFonts w:ascii="Calibri" w:eastAsia="Times New Roman" w:hAnsi="Calibri" w:cs="Calibri"/>
                <w:color w:val="000000"/>
                <w:lang w:eastAsia="en-GB"/>
              </w:rPr>
              <w:t>MAKL13.1c</w:t>
            </w:r>
            <w:r>
              <w:t xml:space="preserve"> – comprised of “colony prefix – MAKN” “mating number – 13”.”litter number – 1””alphabetically listed letter to refer to each mouse in the litter – c”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  <w:tr w:rsidR="000650DC" w14:paraId="317FC160" w14:textId="77777777" w:rsidTr="001A321E">
        <w:tc>
          <w:tcPr>
            <w:tcW w:w="2122" w:type="dxa"/>
          </w:tcPr>
          <w:p w14:paraId="207D01C1" w14:textId="77777777" w:rsidR="000650DC" w:rsidRPr="001A321E" w:rsidRDefault="000650DC" w:rsidP="001A321E">
            <w:pPr>
              <w:pStyle w:val="NoSpacing"/>
              <w:rPr>
                <w:b/>
              </w:rPr>
            </w:pPr>
            <w:r w:rsidRPr="001A321E">
              <w:rPr>
                <w:b/>
              </w:rPr>
              <w:t>Pipeline</w:t>
            </w:r>
          </w:p>
        </w:tc>
        <w:tc>
          <w:tcPr>
            <w:tcW w:w="7767" w:type="dxa"/>
          </w:tcPr>
          <w:p w14:paraId="76B8FAF0" w14:textId="77777777" w:rsidR="000650DC" w:rsidRDefault="000650DC" w:rsidP="001A321E">
            <w:pPr>
              <w:pStyle w:val="NoSpacing"/>
              <w:jc w:val="both"/>
            </w:pPr>
            <w:r>
              <w:t>“</w:t>
            </w:r>
            <w:r w:rsidRPr="00E16F67">
              <w:rPr>
                <w:rFonts w:ascii="Calibri" w:eastAsia="Times New Roman" w:hAnsi="Calibri" w:cs="Calibri"/>
                <w:color w:val="000000"/>
                <w:lang w:eastAsia="en-GB"/>
              </w:rPr>
              <w:t>MGP Pipeline 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”</w:t>
            </w:r>
            <w:r>
              <w:rPr>
                <w:rFonts w:ascii="Calibri" w:hAnsi="Calibri" w:cs="Calibri"/>
                <w:color w:val="000000"/>
              </w:rPr>
              <w:t>, “</w:t>
            </w:r>
            <w:r w:rsidRPr="00E16F67">
              <w:rPr>
                <w:rFonts w:ascii="Calibri" w:eastAsia="Times New Roman" w:hAnsi="Calibri" w:cs="Calibri"/>
                <w:color w:val="000000"/>
                <w:lang w:eastAsia="en-GB"/>
              </w:rPr>
              <w:t>Mouse GP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”, or “</w:t>
            </w:r>
            <w:r w:rsidRPr="00E16F67">
              <w:rPr>
                <w:rFonts w:ascii="Calibri" w:eastAsia="Times New Roman" w:hAnsi="Calibri" w:cs="Calibri"/>
                <w:color w:val="000000"/>
                <w:lang w:eastAsia="en-GB"/>
              </w:rPr>
              <w:t>MGP Select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”</w:t>
            </w:r>
          </w:p>
        </w:tc>
      </w:tr>
      <w:tr w:rsidR="000650DC" w14:paraId="6F88C4DB" w14:textId="77777777" w:rsidTr="001A321E">
        <w:tc>
          <w:tcPr>
            <w:tcW w:w="2122" w:type="dxa"/>
            <w:shd w:val="clear" w:color="auto" w:fill="F2F2F2" w:themeFill="background1" w:themeFillShade="F2"/>
          </w:tcPr>
          <w:p w14:paraId="0D2A40D7" w14:textId="77777777" w:rsidR="000650DC" w:rsidRPr="001A321E" w:rsidRDefault="000650DC" w:rsidP="001A321E">
            <w:pPr>
              <w:pStyle w:val="NoSpacing"/>
              <w:rPr>
                <w:b/>
              </w:rPr>
            </w:pPr>
            <w:r w:rsidRPr="001A321E">
              <w:rPr>
                <w:b/>
              </w:rPr>
              <w:t>Birth Date</w:t>
            </w:r>
          </w:p>
        </w:tc>
        <w:tc>
          <w:tcPr>
            <w:tcW w:w="7767" w:type="dxa"/>
            <w:shd w:val="clear" w:color="auto" w:fill="F2F2F2" w:themeFill="background1" w:themeFillShade="F2"/>
          </w:tcPr>
          <w:p w14:paraId="29063E17" w14:textId="77777777" w:rsidR="000650DC" w:rsidRPr="00180A8D" w:rsidRDefault="000650DC" w:rsidP="001A321E">
            <w:pPr>
              <w:pStyle w:val="NoSpacing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Date of Birth for the mouse (DD-Month-YY)</w:t>
            </w:r>
          </w:p>
        </w:tc>
      </w:tr>
      <w:tr w:rsidR="000650DC" w14:paraId="3436A28F" w14:textId="77777777" w:rsidTr="001A321E">
        <w:tc>
          <w:tcPr>
            <w:tcW w:w="2122" w:type="dxa"/>
          </w:tcPr>
          <w:p w14:paraId="6CF4F0DA" w14:textId="77777777" w:rsidR="000650DC" w:rsidRPr="001A321E" w:rsidRDefault="000650DC" w:rsidP="001A321E">
            <w:pPr>
              <w:pStyle w:val="NoSpacing"/>
              <w:rPr>
                <w:b/>
              </w:rPr>
            </w:pPr>
            <w:r w:rsidRPr="001A321E">
              <w:rPr>
                <w:b/>
              </w:rPr>
              <w:t>Test Date</w:t>
            </w:r>
          </w:p>
        </w:tc>
        <w:tc>
          <w:tcPr>
            <w:tcW w:w="7767" w:type="dxa"/>
          </w:tcPr>
          <w:p w14:paraId="0BC8DF99" w14:textId="77777777" w:rsidR="000650DC" w:rsidRDefault="000650DC" w:rsidP="001A321E">
            <w:pPr>
              <w:pStyle w:val="NoSpacing"/>
              <w:jc w:val="both"/>
            </w:pPr>
            <w:r>
              <w:t>Date of ABR test (DD-Month-YY)</w:t>
            </w:r>
          </w:p>
        </w:tc>
      </w:tr>
      <w:tr w:rsidR="000650DC" w14:paraId="35D0E3D7" w14:textId="77777777" w:rsidTr="001A321E">
        <w:tc>
          <w:tcPr>
            <w:tcW w:w="2122" w:type="dxa"/>
            <w:shd w:val="clear" w:color="auto" w:fill="F2F2F2" w:themeFill="background1" w:themeFillShade="F2"/>
          </w:tcPr>
          <w:p w14:paraId="2F0727B5" w14:textId="77777777" w:rsidR="000650DC" w:rsidRPr="001A321E" w:rsidRDefault="000650DC" w:rsidP="001A321E">
            <w:pPr>
              <w:pStyle w:val="NoSpacing"/>
              <w:rPr>
                <w:b/>
              </w:rPr>
            </w:pPr>
            <w:r w:rsidRPr="001A321E">
              <w:rPr>
                <w:b/>
              </w:rPr>
              <w:t>Age at Test</w:t>
            </w:r>
          </w:p>
        </w:tc>
        <w:tc>
          <w:tcPr>
            <w:tcW w:w="7767" w:type="dxa"/>
            <w:shd w:val="clear" w:color="auto" w:fill="F2F2F2" w:themeFill="background1" w:themeFillShade="F2"/>
          </w:tcPr>
          <w:p w14:paraId="408B29D7" w14:textId="77777777" w:rsidR="000650DC" w:rsidRDefault="000650DC" w:rsidP="001A321E">
            <w:pPr>
              <w:pStyle w:val="NoSpacing"/>
              <w:jc w:val="both"/>
            </w:pPr>
            <w:r>
              <w:t>In weeks (</w:t>
            </w:r>
            <w:proofErr w:type="spellStart"/>
            <w:r>
              <w:t>XX.x</w:t>
            </w:r>
            <w:proofErr w:type="spellEnd"/>
            <w:r>
              <w:t>)</w:t>
            </w:r>
          </w:p>
        </w:tc>
      </w:tr>
      <w:tr w:rsidR="000650DC" w14:paraId="3CA13A9F" w14:textId="77777777" w:rsidTr="001A321E">
        <w:tc>
          <w:tcPr>
            <w:tcW w:w="2122" w:type="dxa"/>
          </w:tcPr>
          <w:p w14:paraId="29C17491" w14:textId="77777777" w:rsidR="000650DC" w:rsidRPr="001A321E" w:rsidRDefault="000650DC" w:rsidP="001A321E">
            <w:pPr>
              <w:pStyle w:val="NoSpacing"/>
              <w:rPr>
                <w:b/>
              </w:rPr>
            </w:pPr>
            <w:r w:rsidRPr="001A321E">
              <w:rPr>
                <w:b/>
              </w:rPr>
              <w:t>Genotype</w:t>
            </w:r>
          </w:p>
        </w:tc>
        <w:tc>
          <w:tcPr>
            <w:tcW w:w="7767" w:type="dxa"/>
          </w:tcPr>
          <w:p w14:paraId="36DC2895" w14:textId="2EFA39B9" w:rsidR="00507260" w:rsidRDefault="00507260" w:rsidP="001A321E">
            <w:pPr>
              <w:pStyle w:val="NoSpacing"/>
              <w:jc w:val="both"/>
            </w:pPr>
            <w:r>
              <w:t>Wildtype mice are denoted as +/+</w:t>
            </w:r>
          </w:p>
          <w:p w14:paraId="39640ABD" w14:textId="29ECD73F" w:rsidR="00507260" w:rsidRDefault="00507260" w:rsidP="001A321E">
            <w:pPr>
              <w:pStyle w:val="NoSpacing"/>
              <w:jc w:val="both"/>
            </w:pPr>
            <w:r>
              <w:t xml:space="preserve">Heterozygote mice are denoted as </w:t>
            </w:r>
            <w:r>
              <w:rPr>
                <w:i/>
              </w:rPr>
              <w:t>*</w:t>
            </w:r>
            <w:r>
              <w:t xml:space="preserve">/+,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="000650DC" w:rsidRPr="00A16219">
              <w:rPr>
                <w:i/>
              </w:rPr>
              <w:t>Brd8</w:t>
            </w:r>
            <w:r w:rsidR="000650DC">
              <w:t xml:space="preserve">/+ heterozygote </w:t>
            </w:r>
            <w:r w:rsidR="000650DC" w:rsidRPr="00A16219">
              <w:rPr>
                <w:i/>
              </w:rPr>
              <w:t>Brd8</w:t>
            </w:r>
            <w:r>
              <w:rPr>
                <w:i/>
              </w:rPr>
              <w:t xml:space="preserve"> allele</w:t>
            </w:r>
            <w:r>
              <w:t>;</w:t>
            </w:r>
          </w:p>
          <w:p w14:paraId="55DDB8F8" w14:textId="09F1EC3E" w:rsidR="00507260" w:rsidRDefault="00507260" w:rsidP="001A321E">
            <w:pPr>
              <w:pStyle w:val="NoSpacing"/>
              <w:jc w:val="both"/>
            </w:pPr>
            <w:r>
              <w:t xml:space="preserve">Homozygote mice are denoted as */*,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="000650DC" w:rsidRPr="00A16219">
              <w:rPr>
                <w:i/>
              </w:rPr>
              <w:t>Herc3/Herc3</w:t>
            </w:r>
            <w:r w:rsidR="000650DC">
              <w:t xml:space="preserve"> homozygote </w:t>
            </w:r>
            <w:r w:rsidR="000650DC" w:rsidRPr="00A16219">
              <w:rPr>
                <w:i/>
              </w:rPr>
              <w:t>Herc3</w:t>
            </w:r>
            <w:r>
              <w:rPr>
                <w:i/>
              </w:rPr>
              <w:t xml:space="preserve"> allele</w:t>
            </w:r>
            <w:r>
              <w:t>;</w:t>
            </w:r>
          </w:p>
          <w:p w14:paraId="7DA1A0C2" w14:textId="7C827876" w:rsidR="000650DC" w:rsidRPr="00180A8D" w:rsidRDefault="000650DC" w:rsidP="001A321E">
            <w:pPr>
              <w:pStyle w:val="NoSpacing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 xml:space="preserve">Hemizygote mice for X-linked-genes are denoted </w:t>
            </w:r>
            <w:r w:rsidR="00507260">
              <w:t xml:space="preserve">as </w:t>
            </w:r>
            <w:r>
              <w:t xml:space="preserve">*/Y, </w:t>
            </w:r>
            <w:proofErr w:type="spellStart"/>
            <w:r w:rsidR="00507260">
              <w:t>eg</w:t>
            </w:r>
            <w:proofErr w:type="spellEnd"/>
            <w:r>
              <w:t xml:space="preserve"> </w:t>
            </w:r>
            <w:r w:rsidRPr="00A16219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Acsl4</w:t>
            </w:r>
            <w:r w:rsidRPr="002465AF">
              <w:rPr>
                <w:rFonts w:ascii="Calibri" w:eastAsia="Times New Roman" w:hAnsi="Calibri" w:cs="Calibri"/>
                <w:color w:val="000000"/>
                <w:lang w:eastAsia="en-GB"/>
              </w:rPr>
              <w:t>/Y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0650DC" w14:paraId="2E34C862" w14:textId="77777777" w:rsidTr="001A321E">
        <w:tc>
          <w:tcPr>
            <w:tcW w:w="2122" w:type="dxa"/>
            <w:shd w:val="clear" w:color="auto" w:fill="F2F2F2" w:themeFill="background1" w:themeFillShade="F2"/>
          </w:tcPr>
          <w:p w14:paraId="1052C141" w14:textId="77777777" w:rsidR="000650DC" w:rsidRPr="001A321E" w:rsidRDefault="000650DC" w:rsidP="001A321E">
            <w:pPr>
              <w:pStyle w:val="NoSpacing"/>
              <w:rPr>
                <w:b/>
              </w:rPr>
            </w:pPr>
            <w:r w:rsidRPr="001A321E">
              <w:rPr>
                <w:b/>
              </w:rPr>
              <w:t>Genetic Background</w:t>
            </w:r>
          </w:p>
        </w:tc>
        <w:tc>
          <w:tcPr>
            <w:tcW w:w="7767" w:type="dxa"/>
            <w:shd w:val="clear" w:color="auto" w:fill="F2F2F2" w:themeFill="background1" w:themeFillShade="F2"/>
          </w:tcPr>
          <w:p w14:paraId="51CC85C5" w14:textId="77777777" w:rsidR="000650DC" w:rsidRDefault="000650DC" w:rsidP="001A321E">
            <w:pPr>
              <w:pStyle w:val="NoSpacing"/>
              <w:jc w:val="both"/>
            </w:pPr>
            <w:r>
              <w:t xml:space="preserve">The genetic background of the mouse line. (See Ingham </w:t>
            </w:r>
            <w:r w:rsidRPr="008F7C12">
              <w:rPr>
                <w:i/>
              </w:rPr>
              <w:t>et al.</w:t>
            </w:r>
            <w:r>
              <w:t xml:space="preserve"> 2018 for detail.)</w:t>
            </w:r>
          </w:p>
        </w:tc>
      </w:tr>
      <w:tr w:rsidR="000650DC" w14:paraId="4C222E84" w14:textId="77777777" w:rsidTr="001A321E">
        <w:tc>
          <w:tcPr>
            <w:tcW w:w="2122" w:type="dxa"/>
          </w:tcPr>
          <w:p w14:paraId="39F82E12" w14:textId="77777777" w:rsidR="000650DC" w:rsidRPr="001A321E" w:rsidRDefault="000650DC" w:rsidP="001A321E">
            <w:pPr>
              <w:pStyle w:val="NoSpacing"/>
              <w:rPr>
                <w:b/>
              </w:rPr>
            </w:pPr>
            <w:r w:rsidRPr="001A321E">
              <w:rPr>
                <w:b/>
              </w:rPr>
              <w:t>Allele</w:t>
            </w:r>
            <w:r w:rsidRPr="001A321E">
              <w:rPr>
                <w:b/>
              </w:rPr>
              <w:tab/>
            </w:r>
          </w:p>
        </w:tc>
        <w:tc>
          <w:tcPr>
            <w:tcW w:w="7767" w:type="dxa"/>
          </w:tcPr>
          <w:p w14:paraId="7187A55C" w14:textId="77777777" w:rsidR="00507260" w:rsidRDefault="000650DC" w:rsidP="001A321E">
            <w:pPr>
              <w:pStyle w:val="NoSpacing"/>
              <w:jc w:val="both"/>
            </w:pPr>
            <w:r>
              <w:t xml:space="preserve">The allele of the targeted </w:t>
            </w:r>
            <w:r w:rsidR="00507260">
              <w:t>gene for the particular line.</w:t>
            </w:r>
          </w:p>
          <w:p w14:paraId="010C338C" w14:textId="574E4463" w:rsidR="000650DC" w:rsidRPr="00180A8D" w:rsidRDefault="000650DC" w:rsidP="001A321E">
            <w:pPr>
              <w:pStyle w:val="NoSpacing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t>eg</w:t>
            </w:r>
            <w:proofErr w:type="spellEnd"/>
            <w:r>
              <w:t xml:space="preserve"> </w:t>
            </w:r>
            <w:r w:rsidRPr="00E16F67">
              <w:rPr>
                <w:rFonts w:ascii="Calibri" w:eastAsia="Times New Roman" w:hAnsi="Calibri" w:cs="Calibri"/>
                <w:color w:val="000000"/>
                <w:lang w:eastAsia="en-GB"/>
              </w:rPr>
              <w:t>Acpl2&lt;tm1a(KOMP)</w:t>
            </w:r>
            <w:proofErr w:type="spellStart"/>
            <w:r w:rsidRPr="00E16F67">
              <w:rPr>
                <w:rFonts w:ascii="Calibri" w:eastAsia="Times New Roman" w:hAnsi="Calibri" w:cs="Calibri"/>
                <w:color w:val="000000"/>
                <w:lang w:eastAsia="en-GB"/>
              </w:rPr>
              <w:t>Wtsi</w:t>
            </w:r>
            <w:proofErr w:type="spellEnd"/>
            <w:r w:rsidRPr="00E16F67">
              <w:rPr>
                <w:rFonts w:ascii="Calibri" w:eastAsia="Times New Roman" w:hAnsi="Calibri" w:cs="Calibri"/>
                <w:color w:val="000000"/>
                <w:lang w:eastAsia="en-GB"/>
              </w:rPr>
              <w:t>&gt;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represent</w:t>
            </w:r>
            <w:r w:rsidR="00507260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16F67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Acpl2</w:t>
            </w:r>
            <w:r w:rsidRPr="00E16F67">
              <w:rPr>
                <w:rFonts w:ascii="Calibri" w:eastAsia="Times New Roman" w:hAnsi="Calibri" w:cs="Calibri"/>
                <w:i/>
                <w:color w:val="000000"/>
                <w:vertAlign w:val="superscript"/>
                <w:lang w:eastAsia="en-GB"/>
              </w:rPr>
              <w:t>tm1a(KOMP)</w:t>
            </w:r>
            <w:proofErr w:type="spellStart"/>
            <w:r w:rsidRPr="00E16F67">
              <w:rPr>
                <w:rFonts w:ascii="Calibri" w:eastAsia="Times New Roman" w:hAnsi="Calibri" w:cs="Calibri"/>
                <w:i/>
                <w:color w:val="000000"/>
                <w:vertAlign w:val="superscript"/>
                <w:lang w:eastAsia="en-GB"/>
              </w:rPr>
              <w:t>Wtsi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507260">
              <w:rPr>
                <w:rFonts w:ascii="Calibri" w:eastAsia="Times New Roman" w:hAnsi="Calibri" w:cs="Calibri"/>
                <w:color w:val="000000"/>
                <w:lang w:eastAsia="en-GB"/>
              </w:rPr>
              <w:t>in standard nomenclature.</w:t>
            </w:r>
          </w:p>
        </w:tc>
      </w:tr>
      <w:tr w:rsidR="000650DC" w14:paraId="5FFCC00A" w14:textId="77777777" w:rsidTr="001A321E">
        <w:tc>
          <w:tcPr>
            <w:tcW w:w="2122" w:type="dxa"/>
            <w:shd w:val="clear" w:color="auto" w:fill="F2F2F2" w:themeFill="background1" w:themeFillShade="F2"/>
          </w:tcPr>
          <w:p w14:paraId="565F61AF" w14:textId="77777777" w:rsidR="000650DC" w:rsidRPr="001A321E" w:rsidRDefault="000650DC" w:rsidP="001A321E">
            <w:pPr>
              <w:pStyle w:val="NoSpacing"/>
              <w:rPr>
                <w:b/>
              </w:rPr>
            </w:pPr>
            <w:r w:rsidRPr="001A321E">
              <w:rPr>
                <w:b/>
              </w:rPr>
              <w:t>Gene</w:t>
            </w:r>
            <w:r w:rsidRPr="001A321E">
              <w:rPr>
                <w:b/>
              </w:rPr>
              <w:tab/>
            </w:r>
          </w:p>
        </w:tc>
        <w:tc>
          <w:tcPr>
            <w:tcW w:w="7767" w:type="dxa"/>
            <w:shd w:val="clear" w:color="auto" w:fill="F2F2F2" w:themeFill="background1" w:themeFillShade="F2"/>
          </w:tcPr>
          <w:p w14:paraId="243352D0" w14:textId="6A9C74BA" w:rsidR="000650DC" w:rsidRPr="00180A8D" w:rsidRDefault="00507260" w:rsidP="001A321E">
            <w:pPr>
              <w:pStyle w:val="NoSpacing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The targeted gene.</w:t>
            </w:r>
          </w:p>
        </w:tc>
      </w:tr>
      <w:tr w:rsidR="000650DC" w14:paraId="59EE870B" w14:textId="77777777" w:rsidTr="001A321E">
        <w:tc>
          <w:tcPr>
            <w:tcW w:w="2122" w:type="dxa"/>
          </w:tcPr>
          <w:p w14:paraId="7E602E99" w14:textId="77777777" w:rsidR="000650DC" w:rsidRPr="001A321E" w:rsidRDefault="000650DC" w:rsidP="001A321E">
            <w:pPr>
              <w:pStyle w:val="NoSpacing"/>
              <w:rPr>
                <w:b/>
              </w:rPr>
            </w:pPr>
            <w:r w:rsidRPr="001A321E">
              <w:rPr>
                <w:b/>
              </w:rPr>
              <w:t>Click Threshold</w:t>
            </w:r>
          </w:p>
        </w:tc>
        <w:tc>
          <w:tcPr>
            <w:tcW w:w="7767" w:type="dxa"/>
          </w:tcPr>
          <w:p w14:paraId="4AE8A429" w14:textId="77777777" w:rsidR="000650DC" w:rsidRDefault="000650DC" w:rsidP="001A321E">
            <w:pPr>
              <w:pStyle w:val="NoSpacing"/>
              <w:jc w:val="both"/>
            </w:pPr>
            <w:r>
              <w:t>dB SPL threshold estimate for click stimulus.</w:t>
            </w:r>
          </w:p>
        </w:tc>
      </w:tr>
      <w:tr w:rsidR="000650DC" w14:paraId="38EC19A4" w14:textId="77777777" w:rsidTr="001A321E">
        <w:tc>
          <w:tcPr>
            <w:tcW w:w="2122" w:type="dxa"/>
            <w:shd w:val="clear" w:color="auto" w:fill="F2F2F2" w:themeFill="background1" w:themeFillShade="F2"/>
          </w:tcPr>
          <w:p w14:paraId="2EBF9C25" w14:textId="77777777" w:rsidR="000650DC" w:rsidRPr="001A321E" w:rsidRDefault="000650DC" w:rsidP="001A321E">
            <w:pPr>
              <w:pStyle w:val="NoSpacing"/>
              <w:rPr>
                <w:b/>
              </w:rPr>
            </w:pPr>
            <w:r w:rsidRPr="001A321E">
              <w:rPr>
                <w:b/>
              </w:rPr>
              <w:t>6kHz Threshold</w:t>
            </w:r>
          </w:p>
        </w:tc>
        <w:tc>
          <w:tcPr>
            <w:tcW w:w="7767" w:type="dxa"/>
            <w:shd w:val="clear" w:color="auto" w:fill="F2F2F2" w:themeFill="background1" w:themeFillShade="F2"/>
          </w:tcPr>
          <w:p w14:paraId="07D6078B" w14:textId="77777777" w:rsidR="000650DC" w:rsidRDefault="000650DC" w:rsidP="001A321E">
            <w:pPr>
              <w:pStyle w:val="NoSpacing"/>
              <w:jc w:val="both"/>
            </w:pPr>
            <w:r>
              <w:t>dB SPL threshold estimate for 6kHz stimulus.</w:t>
            </w:r>
          </w:p>
        </w:tc>
      </w:tr>
      <w:tr w:rsidR="000650DC" w14:paraId="565F0482" w14:textId="77777777" w:rsidTr="001A321E">
        <w:tc>
          <w:tcPr>
            <w:tcW w:w="2122" w:type="dxa"/>
          </w:tcPr>
          <w:p w14:paraId="54A0809E" w14:textId="77777777" w:rsidR="000650DC" w:rsidRPr="001A321E" w:rsidRDefault="000650DC" w:rsidP="001A321E">
            <w:pPr>
              <w:pStyle w:val="NoSpacing"/>
              <w:rPr>
                <w:b/>
              </w:rPr>
            </w:pPr>
            <w:r w:rsidRPr="001A321E">
              <w:rPr>
                <w:b/>
              </w:rPr>
              <w:t>12kHz Threshold</w:t>
            </w:r>
          </w:p>
        </w:tc>
        <w:tc>
          <w:tcPr>
            <w:tcW w:w="7767" w:type="dxa"/>
          </w:tcPr>
          <w:p w14:paraId="2C7317A6" w14:textId="77777777" w:rsidR="000650DC" w:rsidRDefault="000650DC" w:rsidP="001A321E">
            <w:pPr>
              <w:pStyle w:val="NoSpacing"/>
              <w:jc w:val="both"/>
            </w:pPr>
            <w:r>
              <w:t>dB SPL threshold estimate for 12kHz stimulus.</w:t>
            </w:r>
          </w:p>
        </w:tc>
      </w:tr>
      <w:tr w:rsidR="000650DC" w14:paraId="1BDF0050" w14:textId="77777777" w:rsidTr="001A321E">
        <w:tc>
          <w:tcPr>
            <w:tcW w:w="2122" w:type="dxa"/>
            <w:shd w:val="clear" w:color="auto" w:fill="F2F2F2" w:themeFill="background1" w:themeFillShade="F2"/>
          </w:tcPr>
          <w:p w14:paraId="163CDAD4" w14:textId="77777777" w:rsidR="000650DC" w:rsidRPr="001A321E" w:rsidRDefault="000650DC" w:rsidP="001A321E">
            <w:pPr>
              <w:pStyle w:val="NoSpacing"/>
              <w:rPr>
                <w:b/>
              </w:rPr>
            </w:pPr>
            <w:r w:rsidRPr="001A321E">
              <w:rPr>
                <w:b/>
              </w:rPr>
              <w:t>18kHz Threshold</w:t>
            </w:r>
          </w:p>
        </w:tc>
        <w:tc>
          <w:tcPr>
            <w:tcW w:w="7767" w:type="dxa"/>
            <w:shd w:val="clear" w:color="auto" w:fill="F2F2F2" w:themeFill="background1" w:themeFillShade="F2"/>
          </w:tcPr>
          <w:p w14:paraId="37A3A433" w14:textId="77777777" w:rsidR="000650DC" w:rsidRDefault="000650DC" w:rsidP="001A321E">
            <w:pPr>
              <w:pStyle w:val="NoSpacing"/>
              <w:jc w:val="both"/>
            </w:pPr>
            <w:r>
              <w:t>dB SPL threshold estimate for 18kHz stimulus.</w:t>
            </w:r>
          </w:p>
        </w:tc>
      </w:tr>
      <w:tr w:rsidR="000650DC" w14:paraId="18848692" w14:textId="77777777" w:rsidTr="001A321E">
        <w:tc>
          <w:tcPr>
            <w:tcW w:w="2122" w:type="dxa"/>
          </w:tcPr>
          <w:p w14:paraId="551BB0FD" w14:textId="77777777" w:rsidR="000650DC" w:rsidRPr="001A321E" w:rsidRDefault="000650DC" w:rsidP="001A321E">
            <w:pPr>
              <w:pStyle w:val="NoSpacing"/>
              <w:rPr>
                <w:b/>
              </w:rPr>
            </w:pPr>
            <w:r w:rsidRPr="001A321E">
              <w:rPr>
                <w:b/>
              </w:rPr>
              <w:t>24kHz Threshold</w:t>
            </w:r>
          </w:p>
        </w:tc>
        <w:tc>
          <w:tcPr>
            <w:tcW w:w="7767" w:type="dxa"/>
          </w:tcPr>
          <w:p w14:paraId="2261AF08" w14:textId="77777777" w:rsidR="000650DC" w:rsidRDefault="000650DC" w:rsidP="001A321E">
            <w:pPr>
              <w:pStyle w:val="NoSpacing"/>
              <w:jc w:val="both"/>
            </w:pPr>
            <w:r>
              <w:t>dB SPL threshold estimate for 24kHz stimulus.</w:t>
            </w:r>
          </w:p>
        </w:tc>
      </w:tr>
      <w:tr w:rsidR="000650DC" w14:paraId="37D54E34" w14:textId="77777777" w:rsidTr="001A321E">
        <w:tc>
          <w:tcPr>
            <w:tcW w:w="2122" w:type="dxa"/>
            <w:shd w:val="clear" w:color="auto" w:fill="F2F2F2" w:themeFill="background1" w:themeFillShade="F2"/>
          </w:tcPr>
          <w:p w14:paraId="2F2B5F83" w14:textId="77777777" w:rsidR="000650DC" w:rsidRPr="001A321E" w:rsidRDefault="000650DC" w:rsidP="001A321E">
            <w:pPr>
              <w:pStyle w:val="NoSpacing"/>
              <w:rPr>
                <w:b/>
              </w:rPr>
            </w:pPr>
            <w:r w:rsidRPr="001A321E">
              <w:rPr>
                <w:b/>
              </w:rPr>
              <w:t>30kHz Threshold</w:t>
            </w:r>
          </w:p>
        </w:tc>
        <w:tc>
          <w:tcPr>
            <w:tcW w:w="7767" w:type="dxa"/>
            <w:shd w:val="clear" w:color="auto" w:fill="F2F2F2" w:themeFill="background1" w:themeFillShade="F2"/>
          </w:tcPr>
          <w:p w14:paraId="2DFC0194" w14:textId="77777777" w:rsidR="000650DC" w:rsidRDefault="000650DC" w:rsidP="001A321E">
            <w:pPr>
              <w:pStyle w:val="NoSpacing"/>
              <w:jc w:val="both"/>
            </w:pPr>
            <w:r>
              <w:t>dB SPL threshold estimate for 30kHz stimulus.</w:t>
            </w:r>
          </w:p>
        </w:tc>
      </w:tr>
    </w:tbl>
    <w:p w14:paraId="3B047B75" w14:textId="77777777" w:rsidR="004331A4" w:rsidRDefault="004331A4" w:rsidP="001A321E">
      <w:pPr>
        <w:pStyle w:val="NoSpacing"/>
      </w:pPr>
    </w:p>
    <w:p w14:paraId="3BF42E90" w14:textId="22539783" w:rsidR="004331A4" w:rsidRDefault="008F7C12" w:rsidP="001A321E">
      <w:pPr>
        <w:pStyle w:val="NoSpacing"/>
        <w:rPr>
          <w:b/>
        </w:rPr>
      </w:pPr>
      <w:r w:rsidRPr="001A321E">
        <w:rPr>
          <w:b/>
        </w:rPr>
        <w:t>References.</w:t>
      </w:r>
    </w:p>
    <w:p w14:paraId="5ECE1049" w14:textId="2D7B187D" w:rsidR="008F7C12" w:rsidRDefault="008F7C12" w:rsidP="001A321E">
      <w:pPr>
        <w:pStyle w:val="NoSpacing"/>
        <w:numPr>
          <w:ilvl w:val="0"/>
          <w:numId w:val="7"/>
        </w:numPr>
        <w:jc w:val="both"/>
      </w:pPr>
      <w:r w:rsidRPr="008F7C12">
        <w:t>Ingham, N.J., Pearson, S. and Steel, K.P. (2011) Using the Auditory Brainstem Response (ABR) to determine sensitivity of hearing in mutant mice.  Current Protocols in Mouse Biology 1:279-287.</w:t>
      </w:r>
      <w:r w:rsidR="00947E98" w:rsidRPr="00947E98">
        <w:t xml:space="preserve"> DOI:10.1002/9780470942390.mo110059</w:t>
      </w:r>
    </w:p>
    <w:p w14:paraId="31AB1713" w14:textId="2B7FA934" w:rsidR="008F7C12" w:rsidRDefault="008F7C12" w:rsidP="001A321E">
      <w:pPr>
        <w:pStyle w:val="NoSpacing"/>
        <w:numPr>
          <w:ilvl w:val="0"/>
          <w:numId w:val="7"/>
        </w:numPr>
        <w:jc w:val="both"/>
      </w:pPr>
      <w:r w:rsidRPr="008F7C12">
        <w:t xml:space="preserve">Ingham, N.J., Pearson, S. </w:t>
      </w:r>
      <w:r>
        <w:t xml:space="preserve">et al. &amp; </w:t>
      </w:r>
      <w:r w:rsidRPr="008F7C12">
        <w:t>Steel, K.P. (201</w:t>
      </w:r>
      <w:r>
        <w:t>8</w:t>
      </w:r>
      <w:r w:rsidRPr="008F7C12">
        <w:t>) Mouse screen reveals multiple new genes underlying mouse and human hearing loss</w:t>
      </w:r>
      <w:r>
        <w:t xml:space="preserve">. </w:t>
      </w:r>
      <w:r w:rsidRPr="001A321E">
        <w:rPr>
          <w:b/>
        </w:rPr>
        <w:t>IN PREPARATION</w:t>
      </w:r>
      <w:r w:rsidR="00C949A9">
        <w:rPr>
          <w:b/>
        </w:rPr>
        <w:t xml:space="preserve"> for PLOS BIOLOGY</w:t>
      </w:r>
      <w:bookmarkStart w:id="0" w:name="_GoBack"/>
      <w:bookmarkEnd w:id="0"/>
    </w:p>
    <w:sectPr w:rsidR="008F7C12" w:rsidSect="008F7C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4E6"/>
    <w:multiLevelType w:val="hybridMultilevel"/>
    <w:tmpl w:val="E88A8F14"/>
    <w:lvl w:ilvl="0" w:tplc="43188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71829"/>
    <w:multiLevelType w:val="hybridMultilevel"/>
    <w:tmpl w:val="42D68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15703"/>
    <w:multiLevelType w:val="hybridMultilevel"/>
    <w:tmpl w:val="CB18E4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04A50"/>
    <w:multiLevelType w:val="hybridMultilevel"/>
    <w:tmpl w:val="59765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97999"/>
    <w:multiLevelType w:val="hybridMultilevel"/>
    <w:tmpl w:val="80BC1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F4458C"/>
    <w:multiLevelType w:val="hybridMultilevel"/>
    <w:tmpl w:val="F544CE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FA0B52"/>
    <w:multiLevelType w:val="hybridMultilevel"/>
    <w:tmpl w:val="D29097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F7F"/>
    <w:rsid w:val="00054F2C"/>
    <w:rsid w:val="0005786D"/>
    <w:rsid w:val="000650DC"/>
    <w:rsid w:val="00093232"/>
    <w:rsid w:val="000F7119"/>
    <w:rsid w:val="00122644"/>
    <w:rsid w:val="00180A8D"/>
    <w:rsid w:val="001A321E"/>
    <w:rsid w:val="00231F3A"/>
    <w:rsid w:val="002465AF"/>
    <w:rsid w:val="00294EC5"/>
    <w:rsid w:val="0029785B"/>
    <w:rsid w:val="004331A4"/>
    <w:rsid w:val="0044076F"/>
    <w:rsid w:val="004F06E9"/>
    <w:rsid w:val="00507260"/>
    <w:rsid w:val="005A1AF6"/>
    <w:rsid w:val="005E56C5"/>
    <w:rsid w:val="00630EB5"/>
    <w:rsid w:val="00682D4D"/>
    <w:rsid w:val="006F7E87"/>
    <w:rsid w:val="00753D6B"/>
    <w:rsid w:val="008F7C12"/>
    <w:rsid w:val="00947E98"/>
    <w:rsid w:val="00994ABC"/>
    <w:rsid w:val="009A6475"/>
    <w:rsid w:val="009C2912"/>
    <w:rsid w:val="009C2E97"/>
    <w:rsid w:val="00A16219"/>
    <w:rsid w:val="00A23131"/>
    <w:rsid w:val="00A80F05"/>
    <w:rsid w:val="00BA479D"/>
    <w:rsid w:val="00BB363C"/>
    <w:rsid w:val="00C949A9"/>
    <w:rsid w:val="00D048A9"/>
    <w:rsid w:val="00D4485F"/>
    <w:rsid w:val="00D66A0D"/>
    <w:rsid w:val="00E16F67"/>
    <w:rsid w:val="00EA0F7F"/>
    <w:rsid w:val="00F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D105"/>
  <w15:docId w15:val="{A2317558-4CA4-484D-ACEA-CCCE0ED0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EB5"/>
    <w:pPr>
      <w:ind w:left="720"/>
      <w:contextualSpacing/>
    </w:pPr>
  </w:style>
  <w:style w:type="paragraph" w:styleId="NoSpacing">
    <w:name w:val="No Spacing"/>
    <w:uiPriority w:val="1"/>
    <w:qFormat/>
    <w:rsid w:val="009C2E97"/>
    <w:pPr>
      <w:spacing w:after="0" w:line="240" w:lineRule="auto"/>
    </w:pPr>
  </w:style>
  <w:style w:type="table" w:styleId="TableGrid">
    <w:name w:val="Table Grid"/>
    <w:basedOn w:val="TableNormal"/>
    <w:uiPriority w:val="39"/>
    <w:rsid w:val="0068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3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1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Ingham</dc:creator>
  <cp:keywords/>
  <dc:description/>
  <cp:lastModifiedBy>Ingham, Neil</cp:lastModifiedBy>
  <cp:revision>8</cp:revision>
  <dcterms:created xsi:type="dcterms:W3CDTF">2018-02-15T02:48:00Z</dcterms:created>
  <dcterms:modified xsi:type="dcterms:W3CDTF">2018-10-31T19:43:00Z</dcterms:modified>
</cp:coreProperties>
</file>