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DA" w:rsidRPr="00410CF2" w:rsidRDefault="006E5FDA" w:rsidP="006E5FDA">
      <w:pPr>
        <w:tabs>
          <w:tab w:val="left" w:pos="1560"/>
        </w:tabs>
        <w:spacing w:line="300" w:lineRule="auto"/>
        <w:jc w:val="both"/>
      </w:pPr>
      <w:r>
        <w:t>Data files and GenStat analysis programs for the following publication:</w:t>
      </w:r>
    </w:p>
    <w:p w:rsidR="006E5FDA" w:rsidRDefault="006E5FDA" w:rsidP="006E5FDA">
      <w:pPr>
        <w:tabs>
          <w:tab w:val="left" w:pos="1560"/>
        </w:tabs>
        <w:spacing w:after="120" w:line="300" w:lineRule="auto"/>
      </w:pPr>
      <w:r w:rsidRPr="007F7469">
        <w:t xml:space="preserve">van der Voet H, Goedhart PW, Lazebnik J, Kessel GJT, Mullins E, van Loon JA &amp; Arpaia, S. </w:t>
      </w:r>
      <w:r w:rsidRPr="007F7469">
        <w:rPr>
          <w:noProof/>
        </w:rPr>
        <w:t>Equivalence analysis to support environmental safety assessment: using non-target organism count data from field trials with cisgenically modified potato</w:t>
      </w:r>
      <w:r>
        <w:t>.</w:t>
      </w:r>
    </w:p>
    <w:p w:rsidR="006E5FDA" w:rsidRPr="005A1DEF" w:rsidRDefault="006E5FDA" w:rsidP="005A1DEF">
      <w:pPr>
        <w:tabs>
          <w:tab w:val="left" w:pos="1560"/>
        </w:tabs>
        <w:spacing w:before="360" w:after="120" w:line="300" w:lineRule="auto"/>
        <w:rPr>
          <w:b/>
          <w:sz w:val="28"/>
          <w:szCs w:val="28"/>
        </w:rPr>
      </w:pPr>
      <w:r w:rsidRPr="005A1DEF">
        <w:rPr>
          <w:b/>
          <w:sz w:val="28"/>
          <w:szCs w:val="28"/>
        </w:rPr>
        <w:t>Data files in subdirectory Data</w:t>
      </w:r>
    </w:p>
    <w:p w:rsidR="006E5FDA" w:rsidRDefault="006E5FDA" w:rsidP="006E5FDA">
      <w:pPr>
        <w:tabs>
          <w:tab w:val="left" w:pos="1560"/>
        </w:tabs>
        <w:spacing w:after="120" w:line="300" w:lineRule="auto"/>
      </w:pPr>
      <w:r>
        <w:t>The original data files given in the table below are read by four GenStat programs to give four data files which are structured in the same way.</w:t>
      </w:r>
    </w:p>
    <w:tbl>
      <w:tblPr>
        <w:tblStyle w:val="TableGrid"/>
        <w:tblW w:w="9039" w:type="dxa"/>
        <w:tblInd w:w="283" w:type="dxa"/>
        <w:tblLayout w:type="fixed"/>
        <w:tblLook w:val="05E0" w:firstRow="1" w:lastRow="1" w:firstColumn="1" w:lastColumn="1" w:noHBand="0" w:noVBand="1"/>
      </w:tblPr>
      <w:tblGrid>
        <w:gridCol w:w="4645"/>
        <w:gridCol w:w="1701"/>
        <w:gridCol w:w="1276"/>
        <w:gridCol w:w="1417"/>
      </w:tblGrid>
      <w:tr w:rsidR="006E5FDA" w:rsidRPr="006E5FDA" w:rsidTr="006E5FDA">
        <w:tc>
          <w:tcPr>
            <w:tcW w:w="4645" w:type="dxa"/>
            <w:shd w:val="clear" w:color="auto" w:fill="D9D9D9" w:themeFill="background1" w:themeFillShade="D9"/>
            <w:vAlign w:val="center"/>
          </w:tcPr>
          <w:p w:rsidR="006E5FDA" w:rsidRPr="006E5FDA" w:rsidRDefault="006E5FDA" w:rsidP="006E5FDA">
            <w:pPr>
              <w:spacing w:line="300" w:lineRule="auto"/>
              <w:rPr>
                <w:b/>
              </w:rPr>
            </w:pPr>
            <w:r w:rsidRPr="006E5FDA">
              <w:rPr>
                <w:b/>
              </w:rPr>
              <w:t>Original data</w:t>
            </w:r>
            <w:r>
              <w:rPr>
                <w:b/>
              </w:rPr>
              <w:t xml:space="preserve"> </w:t>
            </w:r>
            <w:r w:rsidRPr="006E5FDA">
              <w:rPr>
                <w:b/>
              </w:rPr>
              <w:t>files</w:t>
            </w:r>
          </w:p>
        </w:tc>
        <w:tc>
          <w:tcPr>
            <w:tcW w:w="1701"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Date</w:t>
            </w:r>
          </w:p>
        </w:tc>
        <w:tc>
          <w:tcPr>
            <w:tcW w:w="1276"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Time</w:t>
            </w:r>
          </w:p>
        </w:tc>
        <w:tc>
          <w:tcPr>
            <w:tcW w:w="1417"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Size</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Design Potato Ireland 2014.xlsx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29-02-2016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20:38</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16,852</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Ireland_Pitfall_2013_carabidaepooled.xlsx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20-04-2016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11:51</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30,089</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Ireland_Pitfall_2014_carabidaepooled.xlsx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20-04-2016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12:20</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30,790</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Metadata_Ireland2013.xlsx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29-02-2016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18:05</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9,865</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Valthermond_Pitfall_2013_carabidaepooled.xlsx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20-04-2016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12:21</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81,559</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Valthermond_Pitfall_2014_carabidaepooled.xlsx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20-04-2016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12:21</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38,038</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Valthermond_Visual_2014.xlsx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29-02-2016</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21:26</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19,760</w:t>
            </w:r>
          </w:p>
        </w:tc>
      </w:tr>
      <w:tr w:rsidR="006E5FDA" w:rsidRPr="006E5FDA" w:rsidTr="006E5FDA">
        <w:tc>
          <w:tcPr>
            <w:tcW w:w="4645" w:type="dxa"/>
            <w:shd w:val="clear" w:color="auto" w:fill="D9D9D9" w:themeFill="background1" w:themeFillShade="D9"/>
            <w:vAlign w:val="center"/>
          </w:tcPr>
          <w:p w:rsidR="006E5FDA" w:rsidRPr="006E5FDA" w:rsidRDefault="006E5FDA" w:rsidP="006E5FDA">
            <w:pPr>
              <w:spacing w:line="300" w:lineRule="auto"/>
              <w:rPr>
                <w:b/>
              </w:rPr>
            </w:pPr>
            <w:r w:rsidRPr="006E5FDA">
              <w:rPr>
                <w:b/>
              </w:rPr>
              <w:t>Structured data files</w:t>
            </w:r>
          </w:p>
        </w:tc>
        <w:tc>
          <w:tcPr>
            <w:tcW w:w="1701"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Date</w:t>
            </w:r>
          </w:p>
        </w:tc>
        <w:tc>
          <w:tcPr>
            <w:tcW w:w="1276"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Time</w:t>
            </w:r>
          </w:p>
        </w:tc>
        <w:tc>
          <w:tcPr>
            <w:tcW w:w="1417" w:type="dxa"/>
            <w:shd w:val="clear" w:color="auto" w:fill="D9D9D9" w:themeFill="background1" w:themeFillShade="D9"/>
            <w:vAlign w:val="center"/>
          </w:tcPr>
          <w:p w:rsidR="006E5FDA" w:rsidRPr="006E5FDA" w:rsidRDefault="006E5FDA" w:rsidP="006E5FDA">
            <w:pPr>
              <w:spacing w:line="300" w:lineRule="auto"/>
              <w:jc w:val="right"/>
              <w:rPr>
                <w:b/>
              </w:rPr>
            </w:pPr>
            <w:r w:rsidRPr="006E5FDA">
              <w:rPr>
                <w:b/>
              </w:rPr>
              <w:t>Size</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IR-Pitfall-2013.xlsx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06-08-2018</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12:27</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119,545</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IR-Pitfall-2014.xlsx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06-08-2018</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12:28</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105,080</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NL-Pitfall-2013.xlsx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06-08-2018</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12:28</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149,457</w:t>
            </w:r>
          </w:p>
        </w:tc>
      </w:tr>
      <w:tr w:rsidR="006E5FDA" w:rsidRPr="006E5FDA" w:rsidTr="006E5FDA">
        <w:tc>
          <w:tcPr>
            <w:tcW w:w="4645" w:type="dxa"/>
            <w:vAlign w:val="center"/>
          </w:tcPr>
          <w:p w:rsidR="006E5FDA" w:rsidRPr="006E5FDA" w:rsidRDefault="006E5FDA" w:rsidP="006E5FDA">
            <w:pPr>
              <w:spacing w:line="300" w:lineRule="auto"/>
              <w:rPr>
                <w:sz w:val="22"/>
                <w:szCs w:val="22"/>
              </w:rPr>
            </w:pPr>
            <w:r w:rsidRPr="006E5FDA">
              <w:rPr>
                <w:sz w:val="22"/>
                <w:szCs w:val="22"/>
              </w:rPr>
              <w:t>NL-Pitfall-2014.xlsx</w:t>
            </w:r>
          </w:p>
        </w:tc>
        <w:tc>
          <w:tcPr>
            <w:tcW w:w="1701" w:type="dxa"/>
            <w:vAlign w:val="center"/>
          </w:tcPr>
          <w:p w:rsidR="006E5FDA" w:rsidRPr="006E5FDA" w:rsidRDefault="006E5FDA" w:rsidP="006E5FDA">
            <w:pPr>
              <w:spacing w:line="300" w:lineRule="auto"/>
              <w:jc w:val="right"/>
              <w:rPr>
                <w:sz w:val="22"/>
                <w:szCs w:val="22"/>
              </w:rPr>
            </w:pPr>
            <w:r w:rsidRPr="006E5FDA">
              <w:rPr>
                <w:sz w:val="22"/>
                <w:szCs w:val="22"/>
              </w:rPr>
              <w:t>06-08-2018</w:t>
            </w:r>
          </w:p>
        </w:tc>
        <w:tc>
          <w:tcPr>
            <w:tcW w:w="1276" w:type="dxa"/>
            <w:vAlign w:val="center"/>
          </w:tcPr>
          <w:p w:rsidR="006E5FDA" w:rsidRPr="006E5FDA" w:rsidRDefault="006E5FDA" w:rsidP="006E5FDA">
            <w:pPr>
              <w:spacing w:line="300" w:lineRule="auto"/>
              <w:jc w:val="right"/>
              <w:rPr>
                <w:sz w:val="22"/>
                <w:szCs w:val="22"/>
              </w:rPr>
            </w:pPr>
            <w:r w:rsidRPr="006E5FDA">
              <w:rPr>
                <w:sz w:val="22"/>
                <w:szCs w:val="22"/>
              </w:rPr>
              <w:t>12:45</w:t>
            </w:r>
          </w:p>
        </w:tc>
        <w:tc>
          <w:tcPr>
            <w:tcW w:w="1417" w:type="dxa"/>
            <w:vAlign w:val="center"/>
          </w:tcPr>
          <w:p w:rsidR="006E5FDA" w:rsidRPr="006E5FDA" w:rsidRDefault="006E5FDA" w:rsidP="006E5FDA">
            <w:pPr>
              <w:spacing w:line="300" w:lineRule="auto"/>
              <w:jc w:val="right"/>
              <w:rPr>
                <w:sz w:val="22"/>
                <w:szCs w:val="22"/>
              </w:rPr>
            </w:pPr>
            <w:r w:rsidRPr="006E5FDA">
              <w:rPr>
                <w:sz w:val="22"/>
                <w:szCs w:val="22"/>
              </w:rPr>
              <w:t>135,117</w:t>
            </w:r>
          </w:p>
        </w:tc>
      </w:tr>
    </w:tbl>
    <w:p w:rsidR="000C732F" w:rsidRDefault="006E5FDA" w:rsidP="005A1DEF">
      <w:pPr>
        <w:tabs>
          <w:tab w:val="left" w:pos="1560"/>
        </w:tabs>
        <w:spacing w:before="360" w:after="120" w:line="300" w:lineRule="auto"/>
        <w:rPr>
          <w:b/>
          <w:sz w:val="28"/>
          <w:szCs w:val="28"/>
        </w:rPr>
      </w:pPr>
      <w:r w:rsidRPr="005A1DEF">
        <w:rPr>
          <w:b/>
          <w:sz w:val="28"/>
          <w:szCs w:val="28"/>
        </w:rPr>
        <w:t xml:space="preserve">GenStat procedures in subdirectory </w:t>
      </w:r>
      <w:proofErr w:type="spellStart"/>
      <w:r w:rsidRPr="005A1DEF">
        <w:rPr>
          <w:b/>
          <w:sz w:val="28"/>
          <w:szCs w:val="28"/>
        </w:rPr>
        <w:t>Procs</w:t>
      </w:r>
      <w:proofErr w:type="spellEnd"/>
    </w:p>
    <w:p w:rsidR="005A1DEF" w:rsidRDefault="005A1DEF" w:rsidP="005A1DEF">
      <w:pPr>
        <w:tabs>
          <w:tab w:val="left" w:pos="1560"/>
        </w:tabs>
        <w:spacing w:after="120" w:line="300" w:lineRule="auto"/>
      </w:pPr>
      <w:r>
        <w:t xml:space="preserve">In addition to the procedures in the Biometris GenStat Procedure Library 19ed, four </w:t>
      </w:r>
      <w:proofErr w:type="spellStart"/>
      <w:r>
        <w:t>GenStat</w:t>
      </w:r>
      <w:proofErr w:type="spellEnd"/>
      <w:r>
        <w:t xml:space="preserve"> procedures (D3interval, </w:t>
      </w:r>
      <w:proofErr w:type="spellStart"/>
      <w:r>
        <w:t>Dfold</w:t>
      </w:r>
      <w:proofErr w:type="spellEnd"/>
      <w:r>
        <w:t xml:space="preserve">, </w:t>
      </w:r>
      <w:proofErr w:type="spellStart"/>
      <w:r>
        <w:t>Dinterval</w:t>
      </w:r>
      <w:proofErr w:type="spellEnd"/>
      <w:r>
        <w:t xml:space="preserve"> and Meta) are used in the statistical analysis. The GenStat code of these four procedures is given in subdirectory </w:t>
      </w:r>
      <w:proofErr w:type="spellStart"/>
      <w:r>
        <w:t>Procs</w:t>
      </w:r>
      <w:proofErr w:type="spellEnd"/>
      <w:r>
        <w:t>.</w:t>
      </w:r>
    </w:p>
    <w:p w:rsidR="005A1DEF" w:rsidRDefault="005A1DEF" w:rsidP="005A1DEF">
      <w:pPr>
        <w:tabs>
          <w:tab w:val="left" w:pos="1560"/>
        </w:tabs>
        <w:spacing w:before="360" w:after="120" w:line="300" w:lineRule="auto"/>
        <w:rPr>
          <w:b/>
          <w:sz w:val="28"/>
          <w:szCs w:val="28"/>
        </w:rPr>
      </w:pPr>
      <w:r>
        <w:rPr>
          <w:b/>
          <w:sz w:val="28"/>
          <w:szCs w:val="28"/>
        </w:rPr>
        <w:t>Statistical analysis and graphical display programs in subdirectory Analysis</w:t>
      </w:r>
    </w:p>
    <w:p w:rsidR="005A1DEF" w:rsidRDefault="005A1DEF" w:rsidP="005A1DEF">
      <w:pPr>
        <w:tabs>
          <w:tab w:val="left" w:pos="1560"/>
        </w:tabs>
        <w:spacing w:after="120" w:line="300" w:lineRule="auto"/>
      </w:pPr>
      <w:r>
        <w:t>Statistical analysis of the four separate trial is performed by means of GenStat programs “</w:t>
      </w:r>
      <w:r w:rsidRPr="005A1DEF">
        <w:rPr>
          <w:i/>
        </w:rPr>
        <w:t>01</w:t>
      </w:r>
      <w:r w:rsidRPr="005A1DEF">
        <w:rPr>
          <w:i/>
        </w:rPr>
        <w:noBreakHyphen/>
        <w:t>IR</w:t>
      </w:r>
      <w:r w:rsidRPr="005A1DEF">
        <w:rPr>
          <w:i/>
        </w:rPr>
        <w:noBreakHyphen/>
        <w:t>2013.gen</w:t>
      </w:r>
      <w:r>
        <w:t>”, “</w:t>
      </w:r>
      <w:r w:rsidRPr="005A1DEF">
        <w:rPr>
          <w:i/>
        </w:rPr>
        <w:t>02</w:t>
      </w:r>
      <w:r w:rsidRPr="005A1DEF">
        <w:rPr>
          <w:i/>
        </w:rPr>
        <w:noBreakHyphen/>
        <w:t>IR</w:t>
      </w:r>
      <w:r w:rsidRPr="005A1DEF">
        <w:rPr>
          <w:i/>
        </w:rPr>
        <w:noBreakHyphen/>
        <w:t>2014.gen</w:t>
      </w:r>
      <w:r>
        <w:t>”, “</w:t>
      </w:r>
      <w:r w:rsidRPr="005A1DEF">
        <w:rPr>
          <w:i/>
        </w:rPr>
        <w:t>03</w:t>
      </w:r>
      <w:r w:rsidRPr="005A1DEF">
        <w:rPr>
          <w:i/>
        </w:rPr>
        <w:noBreakHyphen/>
        <w:t>NL</w:t>
      </w:r>
      <w:r w:rsidRPr="005A1DEF">
        <w:rPr>
          <w:i/>
        </w:rPr>
        <w:noBreakHyphen/>
        <w:t>2013.gen</w:t>
      </w:r>
      <w:r>
        <w:t>” and “</w:t>
      </w:r>
      <w:r w:rsidRPr="005A1DEF">
        <w:rPr>
          <w:i/>
        </w:rPr>
        <w:t>04</w:t>
      </w:r>
      <w:r w:rsidRPr="005A1DEF">
        <w:rPr>
          <w:i/>
        </w:rPr>
        <w:noBreakHyphen/>
        <w:t>NL</w:t>
      </w:r>
      <w:r w:rsidRPr="005A1DEF">
        <w:rPr>
          <w:i/>
        </w:rPr>
        <w:noBreakHyphen/>
        <w:t>2014.gen</w:t>
      </w:r>
      <w:r>
        <w:t xml:space="preserve">” and the results to be used for graphical display are exported to accompanying Excel files. These four programs only differ in their first lines. The programs basically loop over all endpoints to determine the level of interaction between </w:t>
      </w:r>
      <w:r w:rsidRPr="005A1DEF">
        <w:rPr>
          <w:i/>
        </w:rPr>
        <w:t>Genotype</w:t>
      </w:r>
      <w:r>
        <w:t xml:space="preserve"> and </w:t>
      </w:r>
      <w:r w:rsidRPr="005A1DEF">
        <w:rPr>
          <w:i/>
        </w:rPr>
        <w:t>Spraying</w:t>
      </w:r>
      <w:r>
        <w:rPr>
          <w:i/>
        </w:rPr>
        <w:softHyphen/>
        <w:t xml:space="preserve">, </w:t>
      </w:r>
      <w:r>
        <w:t>and to calculate the ass</w:t>
      </w:r>
      <w:r w:rsidR="002F6CCA">
        <w:t>ociated difference between the G</w:t>
      </w:r>
      <w:bookmarkStart w:id="0" w:name="_GoBack"/>
      <w:bookmarkEnd w:id="0"/>
      <w:r>
        <w:t xml:space="preserve">MO and the CMP. </w:t>
      </w:r>
      <w:r w:rsidR="003B421C">
        <w:t>Program “</w:t>
      </w:r>
      <w:r w:rsidR="003B421C" w:rsidRPr="003B421C">
        <w:rPr>
          <w:i/>
        </w:rPr>
        <w:t>05-MetaAnalysis.gen</w:t>
      </w:r>
      <w:r w:rsidR="003B421C" w:rsidRPr="003B421C">
        <w:t xml:space="preserve">” employs the results to perform a </w:t>
      </w:r>
      <w:r w:rsidR="003B421C">
        <w:t xml:space="preserve">functional group </w:t>
      </w:r>
      <w:r w:rsidR="003B421C" w:rsidRPr="003B421C">
        <w:t>meta-analysis</w:t>
      </w:r>
      <w:r w:rsidR="003B421C">
        <w:t xml:space="preserve"> for the separate trials. </w:t>
      </w:r>
    </w:p>
    <w:p w:rsidR="003B421C" w:rsidRPr="005A1DEF" w:rsidRDefault="003B421C" w:rsidP="005A1DEF">
      <w:pPr>
        <w:tabs>
          <w:tab w:val="left" w:pos="1560"/>
        </w:tabs>
        <w:spacing w:after="120" w:line="300" w:lineRule="auto"/>
      </w:pPr>
      <w:r>
        <w:t>Graphical display of the results are then produced by the 11-15 GenStat programs.</w:t>
      </w:r>
    </w:p>
    <w:sectPr w:rsidR="003B421C" w:rsidRPr="005A1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DA"/>
    <w:rsid w:val="000C732F"/>
    <w:rsid w:val="001C023F"/>
    <w:rsid w:val="002F18BA"/>
    <w:rsid w:val="002F6CCA"/>
    <w:rsid w:val="003B421C"/>
    <w:rsid w:val="00542D81"/>
    <w:rsid w:val="005701A6"/>
    <w:rsid w:val="005A1DEF"/>
    <w:rsid w:val="006E5FDA"/>
    <w:rsid w:val="009167F2"/>
    <w:rsid w:val="009F2A5F"/>
    <w:rsid w:val="00B2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BC2D"/>
  <w15:chartTrackingRefBased/>
  <w15:docId w15:val="{88050881-9DDF-468A-9ABD-2C5D894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218E7324.dotm</Template>
  <TotalTime>26</TotalTime>
  <Pages>1</Pages>
  <Words>348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Goedhart, Paul</dc:creator>
  <cp:keywords/>
  <dc:description/>
  <cp:lastModifiedBy>Voet, Hilko van der</cp:lastModifiedBy>
  <cp:revision>2</cp:revision>
  <dcterms:created xsi:type="dcterms:W3CDTF">2018-08-06T12:30:00Z</dcterms:created>
  <dcterms:modified xsi:type="dcterms:W3CDTF">2018-08-06T13:10:00Z</dcterms:modified>
</cp:coreProperties>
</file>