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60" w:rsidRDefault="00B40B60" w:rsidP="00B40B60">
      <w:pPr>
        <w:rPr>
          <w:sz w:val="24"/>
          <w:szCs w:val="24"/>
        </w:rPr>
      </w:pPr>
      <w:r w:rsidRPr="00B40B60">
        <w:rPr>
          <w:rFonts w:hint="eastAsia"/>
          <w:sz w:val="24"/>
          <w:szCs w:val="24"/>
        </w:rPr>
        <w:t>R</w:t>
      </w:r>
      <w:r w:rsidRPr="00B40B60">
        <w:rPr>
          <w:sz w:val="24"/>
          <w:szCs w:val="24"/>
        </w:rPr>
        <w:t xml:space="preserve">EADME </w:t>
      </w:r>
    </w:p>
    <w:p w:rsidR="00B40B60" w:rsidRDefault="00B40B60" w:rsidP="00B40B60">
      <w:pPr>
        <w:rPr>
          <w:sz w:val="24"/>
          <w:szCs w:val="24"/>
        </w:rPr>
      </w:pPr>
    </w:p>
    <w:p w:rsidR="00B40B60" w:rsidRPr="00B40B60" w:rsidRDefault="00B40B60" w:rsidP="00B40B60">
      <w:pPr>
        <w:rPr>
          <w:sz w:val="24"/>
          <w:szCs w:val="24"/>
        </w:rPr>
      </w:pPr>
      <w:r>
        <w:rPr>
          <w:sz w:val="24"/>
          <w:szCs w:val="24"/>
        </w:rPr>
        <w:t>F</w:t>
      </w:r>
      <w:r w:rsidRPr="00B40B60">
        <w:rPr>
          <w:sz w:val="24"/>
          <w:szCs w:val="24"/>
        </w:rPr>
        <w:t>or data of</w:t>
      </w:r>
      <w:r w:rsidRPr="00B40B60">
        <w:rPr>
          <w:rFonts w:hint="eastAsia"/>
          <w:sz w:val="24"/>
          <w:szCs w:val="24"/>
        </w:rPr>
        <w:t xml:space="preserve"> </w:t>
      </w:r>
      <w:r w:rsidRPr="00B40B60">
        <w:rPr>
          <w:sz w:val="24"/>
          <w:szCs w:val="24"/>
        </w:rPr>
        <w:t>“</w:t>
      </w:r>
      <w:r w:rsidRPr="00B40B60">
        <w:rPr>
          <w:rFonts w:hint="eastAsia"/>
          <w:color w:val="292526"/>
          <w:kern w:val="0"/>
          <w:sz w:val="24"/>
          <w:szCs w:val="24"/>
        </w:rPr>
        <w:t>Correlations among d</w:t>
      </w:r>
      <w:r w:rsidRPr="00B40B60">
        <w:rPr>
          <w:color w:val="292526"/>
          <w:kern w:val="0"/>
          <w:sz w:val="24"/>
          <w:szCs w:val="24"/>
        </w:rPr>
        <w:t xml:space="preserve">evelopmental stability, canalization and phenotypic plasticity in response to population density </w:t>
      </w:r>
      <w:r w:rsidRPr="00B40B60">
        <w:rPr>
          <w:rFonts w:hint="eastAsia"/>
          <w:color w:val="292526"/>
          <w:kern w:val="0"/>
          <w:sz w:val="24"/>
          <w:szCs w:val="24"/>
        </w:rPr>
        <w:t>in</w:t>
      </w:r>
      <w:r w:rsidRPr="00B40B60">
        <w:rPr>
          <w:color w:val="292526"/>
          <w:kern w:val="0"/>
          <w:sz w:val="24"/>
          <w:szCs w:val="24"/>
        </w:rPr>
        <w:t xml:space="preserve"> leaf size of</w:t>
      </w:r>
      <w:r w:rsidRPr="00B40B60">
        <w:rPr>
          <w:rFonts w:ascii="宋体" w:hAnsi="宋体" w:hint="eastAsia"/>
          <w:color w:val="292526"/>
          <w:kern w:val="0"/>
          <w:sz w:val="24"/>
          <w:szCs w:val="24"/>
        </w:rPr>
        <w:t xml:space="preserve"> </w:t>
      </w:r>
      <w:r w:rsidRPr="00B40B60">
        <w:rPr>
          <w:i/>
          <w:iCs/>
          <w:kern w:val="0"/>
          <w:sz w:val="24"/>
          <w:szCs w:val="24"/>
        </w:rPr>
        <w:t xml:space="preserve">Abutilon </w:t>
      </w:r>
      <w:proofErr w:type="spellStart"/>
      <w:r w:rsidRPr="00B40B60">
        <w:rPr>
          <w:i/>
          <w:iCs/>
          <w:kern w:val="0"/>
          <w:sz w:val="24"/>
          <w:szCs w:val="24"/>
        </w:rPr>
        <w:t>theophrasti</w:t>
      </w:r>
      <w:proofErr w:type="spellEnd"/>
      <w:r w:rsidRPr="00B40B60">
        <w:rPr>
          <w:iCs/>
          <w:kern w:val="0"/>
          <w:sz w:val="24"/>
          <w:szCs w:val="24"/>
        </w:rPr>
        <w:t>”</w:t>
      </w:r>
    </w:p>
    <w:p w:rsidR="00B40B60" w:rsidRPr="00B40B60" w:rsidRDefault="00B40B60"/>
    <w:p w:rsidR="00B40B60" w:rsidRDefault="00B40B60">
      <w:pPr>
        <w:rPr>
          <w:rFonts w:hint="eastAsia"/>
        </w:rPr>
      </w:pPr>
    </w:p>
    <w:p w:rsidR="00B40B60" w:rsidRPr="00B40B60" w:rsidRDefault="00B40B60">
      <w:pPr>
        <w:rPr>
          <w:rFonts w:hint="eastAsia"/>
          <w:i/>
        </w:rPr>
      </w:pPr>
      <w:r w:rsidRPr="00B40B60">
        <w:rPr>
          <w:rFonts w:hint="eastAsia"/>
          <w:i/>
        </w:rPr>
        <w:t>Experimental</w:t>
      </w:r>
      <w:r w:rsidRPr="00B40B60">
        <w:rPr>
          <w:i/>
        </w:rPr>
        <w:t xml:space="preserve"> Design</w:t>
      </w:r>
    </w:p>
    <w:p w:rsidR="00B40B60" w:rsidRPr="00B40B60" w:rsidRDefault="00B40B60" w:rsidP="00B40B60">
      <w:pPr>
        <w:spacing w:line="480" w:lineRule="auto"/>
        <w:rPr>
          <w:i/>
          <w:sz w:val="24"/>
          <w:szCs w:val="24"/>
        </w:rPr>
      </w:pPr>
      <w:r>
        <w:rPr>
          <w:sz w:val="24"/>
          <w:szCs w:val="24"/>
        </w:rPr>
        <w:t xml:space="preserve">The experiment used a split plot design, with </w:t>
      </w:r>
      <w:r>
        <w:rPr>
          <w:kern w:val="0"/>
          <w:sz w:val="24"/>
          <w:szCs w:val="24"/>
        </w:rPr>
        <w:t xml:space="preserve">infertile and fertile soil conditions assigned as two whole plots, each of which was divided into </w:t>
      </w:r>
      <w:r>
        <w:rPr>
          <w:sz w:val="24"/>
          <w:szCs w:val="24"/>
        </w:rPr>
        <w:t xml:space="preserve">nine </w:t>
      </w:r>
      <w:r>
        <w:rPr>
          <w:kern w:val="0"/>
          <w:sz w:val="24"/>
          <w:szCs w:val="24"/>
        </w:rPr>
        <w:t xml:space="preserve">2 </w:t>
      </w:r>
      <w:r>
        <w:rPr>
          <w:sz w:val="24"/>
          <w:szCs w:val="24"/>
        </w:rPr>
        <w:t>× 3 m sub-plots, with three plant densities and t</w:t>
      </w:r>
      <w:r>
        <w:rPr>
          <w:kern w:val="0"/>
          <w:sz w:val="24"/>
          <w:szCs w:val="24"/>
        </w:rPr>
        <w:t>hree blocks randomly distributed.</w:t>
      </w:r>
      <w:r>
        <w:rPr>
          <w:sz w:val="24"/>
          <w:szCs w:val="24"/>
        </w:rPr>
        <w:t xml:space="preserve"> L</w:t>
      </w:r>
      <w:r>
        <w:rPr>
          <w:kern w:val="0"/>
          <w:sz w:val="24"/>
          <w:szCs w:val="24"/>
        </w:rPr>
        <w:t>ow, medium and high densities were set up by sowing seeds at three inter-planting distances of 30, 20 and 10 cm, to reach the target plant densities of 12.8, 27.5 and 108.5 plants·m</w:t>
      </w:r>
      <w:r>
        <w:rPr>
          <w:kern w:val="0"/>
          <w:sz w:val="24"/>
          <w:szCs w:val="24"/>
          <w:vertAlign w:val="superscript"/>
        </w:rPr>
        <w:t>-2</w:t>
      </w:r>
      <w:r>
        <w:rPr>
          <w:kern w:val="0"/>
          <w:sz w:val="24"/>
          <w:szCs w:val="24"/>
        </w:rPr>
        <w:t xml:space="preserve"> respectively. </w:t>
      </w:r>
      <w:r>
        <w:rPr>
          <w:sz w:val="24"/>
          <w:szCs w:val="24"/>
        </w:rPr>
        <w:t xml:space="preserve">Contrasting soil conditions were set up by using the soil of experimental plots as infertile soil, in comparison with covering a layer of more-fertile soil on the plots as fertile soil </w:t>
      </w:r>
      <w:hyperlink w:anchor="_ENREF_14" w:tooltip="Wang, 2017 #3620" w:history="1">
        <w:r>
          <w:rPr>
            <w:rStyle w:val="a3"/>
            <w:sz w:val="24"/>
            <w:szCs w:val="24"/>
            <w:vertAlign w:val="superscript"/>
          </w:rPr>
          <w:t>14</w:t>
        </w:r>
      </w:hyperlink>
      <w:r>
        <w:rPr>
          <w:sz w:val="24"/>
          <w:szCs w:val="24"/>
        </w:rPr>
        <w:t xml:space="preserve">. </w:t>
      </w:r>
    </w:p>
    <w:p w:rsidR="00B40B60" w:rsidRDefault="00B40B60" w:rsidP="00B40B60">
      <w:pPr>
        <w:spacing w:line="480" w:lineRule="auto"/>
        <w:rPr>
          <w:rFonts w:hint="eastAsia"/>
          <w:i/>
          <w:sz w:val="24"/>
          <w:szCs w:val="24"/>
        </w:rPr>
      </w:pPr>
      <w:r>
        <w:rPr>
          <w:i/>
          <w:sz w:val="24"/>
          <w:szCs w:val="24"/>
        </w:rPr>
        <w:t>Data collection and analysis</w:t>
      </w:r>
    </w:p>
    <w:p w:rsidR="00B40B60" w:rsidRDefault="00B40B60" w:rsidP="00B40B60">
      <w:pPr>
        <w:spacing w:line="480" w:lineRule="auto"/>
        <w:rPr>
          <w:sz w:val="24"/>
          <w:szCs w:val="24"/>
        </w:rPr>
      </w:pPr>
      <w:r>
        <w:rPr>
          <w:sz w:val="24"/>
          <w:szCs w:val="24"/>
        </w:rPr>
        <w:t>Plants were harvested at 30, 50 and 70 days of growth from emergence. At each of three stages, five to six individuals were randomly chosen from each plot, making the maximum total of 6 replicates × 3 blocks × 3 densities × 2 soils × 3 stages = 324 sampling. For each individual in each treatment, the widths of right and left sides per leaf were measured twice with a digital caliper for all leaves on the main stem, to calculate leaf size (LS, the average width of right and left sides) and leaf fluctuating asymmetry (FA). We attempted to apply almost all kinds of indexes (FA</w:t>
      </w:r>
      <w:r>
        <w:rPr>
          <w:sz w:val="24"/>
          <w:szCs w:val="24"/>
          <w:vertAlign w:val="subscript"/>
        </w:rPr>
        <w:t>1</w:t>
      </w:r>
      <w:r>
        <w:rPr>
          <w:sz w:val="24"/>
          <w:szCs w:val="24"/>
        </w:rPr>
        <w:t>-FA</w:t>
      </w:r>
      <w:r>
        <w:rPr>
          <w:sz w:val="24"/>
          <w:szCs w:val="24"/>
          <w:vertAlign w:val="subscript"/>
        </w:rPr>
        <w:t>8</w:t>
      </w:r>
      <w:r>
        <w:rPr>
          <w:sz w:val="24"/>
          <w:szCs w:val="24"/>
        </w:rPr>
        <w:t xml:space="preserve"> and FA</w:t>
      </w:r>
      <w:r>
        <w:rPr>
          <w:sz w:val="24"/>
          <w:szCs w:val="24"/>
          <w:vertAlign w:val="subscript"/>
        </w:rPr>
        <w:t>10</w:t>
      </w:r>
      <w:r>
        <w:rPr>
          <w:sz w:val="24"/>
          <w:szCs w:val="24"/>
        </w:rPr>
        <w:t xml:space="preserve">) to calculate leaf FA as an estimate of developmental stability </w:t>
      </w:r>
      <w:hyperlink w:anchor="_ENREF_20" w:tooltip="Palmer, 2003 #2962" w:history="1">
        <w:r>
          <w:rPr>
            <w:rStyle w:val="a3"/>
            <w:kern w:val="0"/>
            <w:sz w:val="24"/>
            <w:szCs w:val="24"/>
            <w:vertAlign w:val="superscript"/>
          </w:rPr>
          <w:t>20</w:t>
        </w:r>
      </w:hyperlink>
      <w:proofErr w:type="gramStart"/>
      <w:r>
        <w:rPr>
          <w:kern w:val="0"/>
          <w:sz w:val="24"/>
          <w:szCs w:val="24"/>
          <w:vertAlign w:val="superscript"/>
        </w:rPr>
        <w:t>,</w:t>
      </w:r>
      <w:proofErr w:type="gramEnd"/>
      <w:r>
        <w:fldChar w:fldCharType="begin"/>
      </w:r>
      <w:r>
        <w:instrText xml:space="preserve"> HYPERLINK "" \l "_ENREF_49" \o "Palmer, 1986 #2489" </w:instrText>
      </w:r>
      <w:r>
        <w:fldChar w:fldCharType="separate"/>
      </w:r>
      <w:r>
        <w:rPr>
          <w:rStyle w:val="a3"/>
          <w:kern w:val="0"/>
          <w:sz w:val="24"/>
          <w:szCs w:val="24"/>
          <w:vertAlign w:val="superscript"/>
        </w:rPr>
        <w:t>49</w:t>
      </w:r>
      <w:r>
        <w:fldChar w:fldCharType="end"/>
      </w:r>
      <w:r>
        <w:rPr>
          <w:sz w:val="24"/>
          <w:szCs w:val="24"/>
        </w:rPr>
        <w:t>. Results from ANOVA analyses indicated similar conclusions from most of the indexes. We adopted three of FA</w:t>
      </w:r>
      <w:r>
        <w:rPr>
          <w:sz w:val="24"/>
          <w:szCs w:val="24"/>
          <w:vertAlign w:val="subscript"/>
        </w:rPr>
        <w:t>1</w:t>
      </w:r>
      <w:r>
        <w:rPr>
          <w:sz w:val="24"/>
          <w:szCs w:val="24"/>
        </w:rPr>
        <w:t>, FA</w:t>
      </w:r>
      <w:r>
        <w:rPr>
          <w:sz w:val="24"/>
          <w:szCs w:val="24"/>
          <w:vertAlign w:val="subscript"/>
        </w:rPr>
        <w:t>2</w:t>
      </w:r>
      <w:r>
        <w:rPr>
          <w:sz w:val="24"/>
          <w:szCs w:val="24"/>
        </w:rPr>
        <w:t xml:space="preserve"> and FA</w:t>
      </w:r>
      <w:r>
        <w:rPr>
          <w:sz w:val="24"/>
          <w:szCs w:val="24"/>
          <w:vertAlign w:val="subscript"/>
        </w:rPr>
        <w:t>10</w:t>
      </w:r>
      <w:r>
        <w:rPr>
          <w:sz w:val="24"/>
          <w:szCs w:val="24"/>
        </w:rPr>
        <w:t xml:space="preserve"> from all indexes, as FA</w:t>
      </w:r>
      <w:r>
        <w:rPr>
          <w:sz w:val="24"/>
          <w:szCs w:val="24"/>
          <w:vertAlign w:val="subscript"/>
        </w:rPr>
        <w:t>1</w:t>
      </w:r>
      <w:r>
        <w:rPr>
          <w:sz w:val="24"/>
          <w:szCs w:val="24"/>
        </w:rPr>
        <w:t xml:space="preserve"> and FA</w:t>
      </w:r>
      <w:r>
        <w:rPr>
          <w:sz w:val="24"/>
          <w:szCs w:val="24"/>
          <w:vertAlign w:val="subscript"/>
        </w:rPr>
        <w:t>2</w:t>
      </w:r>
      <w:r>
        <w:rPr>
          <w:sz w:val="24"/>
          <w:szCs w:val="24"/>
        </w:rPr>
        <w:t xml:space="preserve"> are ones with and without effects of leaf size respectively, and FA</w:t>
      </w:r>
      <w:r>
        <w:rPr>
          <w:sz w:val="24"/>
          <w:szCs w:val="24"/>
          <w:vertAlign w:val="subscript"/>
        </w:rPr>
        <w:t>10</w:t>
      </w:r>
      <w:r>
        <w:rPr>
          <w:sz w:val="24"/>
          <w:szCs w:val="24"/>
        </w:rPr>
        <w:t xml:space="preserve"> is the only </w:t>
      </w:r>
      <w:r>
        <w:rPr>
          <w:kern w:val="0"/>
          <w:sz w:val="24"/>
          <w:szCs w:val="24"/>
        </w:rPr>
        <w:t>index with measurement error variance partitioned out of the total between-sides variance</w:t>
      </w:r>
      <w:r>
        <w:rPr>
          <w:sz w:val="24"/>
          <w:szCs w:val="24"/>
        </w:rPr>
        <w:t>, with formulas</w:t>
      </w:r>
      <w:r>
        <w:rPr>
          <w:kern w:val="0"/>
          <w:sz w:val="24"/>
          <w:szCs w:val="24"/>
        </w:rPr>
        <w:t xml:space="preserve"> as follows </w:t>
      </w:r>
      <w:hyperlink w:anchor="_ENREF_20" w:tooltip="Palmer, 2003 #2962" w:history="1">
        <w:r>
          <w:rPr>
            <w:rStyle w:val="a3"/>
            <w:kern w:val="0"/>
            <w:sz w:val="24"/>
            <w:szCs w:val="24"/>
            <w:vertAlign w:val="superscript"/>
          </w:rPr>
          <w:t>20</w:t>
        </w:r>
      </w:hyperlink>
      <w:r>
        <w:rPr>
          <w:kern w:val="0"/>
          <w:sz w:val="24"/>
          <w:szCs w:val="24"/>
          <w:vertAlign w:val="superscript"/>
        </w:rPr>
        <w:t>,</w:t>
      </w:r>
      <w:hyperlink w:anchor="_ENREF_49" w:tooltip="Palmer, 1986 #2489" w:history="1">
        <w:r>
          <w:rPr>
            <w:rStyle w:val="a3"/>
            <w:kern w:val="0"/>
            <w:sz w:val="24"/>
            <w:szCs w:val="24"/>
            <w:vertAlign w:val="superscript"/>
          </w:rPr>
          <w:t>49</w:t>
        </w:r>
      </w:hyperlink>
      <w:r>
        <w:rPr>
          <w:kern w:val="0"/>
          <w:sz w:val="24"/>
          <w:szCs w:val="24"/>
        </w:rPr>
        <w:t xml:space="preserve">: </w:t>
      </w:r>
    </w:p>
    <w:p w:rsidR="00B40B60" w:rsidRDefault="00B40B60" w:rsidP="00B40B60">
      <w:pPr>
        <w:autoSpaceDE w:val="0"/>
        <w:autoSpaceDN w:val="0"/>
        <w:adjustRightInd w:val="0"/>
        <w:spacing w:line="480" w:lineRule="auto"/>
        <w:ind w:firstLineChars="150" w:firstLine="360"/>
        <w:jc w:val="left"/>
        <w:rPr>
          <w:kern w:val="0"/>
          <w:sz w:val="24"/>
          <w:szCs w:val="24"/>
        </w:rPr>
      </w:pPr>
      <w:r>
        <w:rPr>
          <w:sz w:val="24"/>
          <w:szCs w:val="24"/>
        </w:rPr>
        <w:lastRenderedPageBreak/>
        <w:t>FA</w:t>
      </w:r>
      <w:r>
        <w:rPr>
          <w:sz w:val="24"/>
          <w:szCs w:val="24"/>
          <w:vertAlign w:val="subscript"/>
        </w:rPr>
        <w:t>1</w:t>
      </w:r>
      <w:r>
        <w:rPr>
          <w:sz w:val="24"/>
          <w:szCs w:val="24"/>
        </w:rPr>
        <w:t xml:space="preserve"> = </w:t>
      </w:r>
      <w:r>
        <w:rPr>
          <w:color w:val="231F20"/>
          <w:kern w:val="0"/>
          <w:sz w:val="24"/>
          <w:szCs w:val="24"/>
        </w:rPr>
        <w:t>∑</w:t>
      </w:r>
      <w:r>
        <w:rPr>
          <w:sz w:val="24"/>
          <w:szCs w:val="24"/>
        </w:rPr>
        <w:t>│</w:t>
      </w:r>
      <w:r>
        <w:rPr>
          <w:i/>
          <w:sz w:val="24"/>
          <w:szCs w:val="24"/>
        </w:rPr>
        <w:t>R</w:t>
      </w:r>
      <w:r>
        <w:rPr>
          <w:sz w:val="24"/>
          <w:szCs w:val="24"/>
        </w:rPr>
        <w:t xml:space="preserve"> - </w:t>
      </w:r>
      <w:r>
        <w:rPr>
          <w:i/>
          <w:sz w:val="24"/>
          <w:szCs w:val="24"/>
        </w:rPr>
        <w:t>L</w:t>
      </w:r>
      <w:r>
        <w:rPr>
          <w:sz w:val="24"/>
          <w:szCs w:val="24"/>
        </w:rPr>
        <w:t>│/</w:t>
      </w:r>
      <w:r>
        <w:rPr>
          <w:i/>
          <w:sz w:val="24"/>
          <w:szCs w:val="24"/>
        </w:rPr>
        <w:t xml:space="preserve">n                                                  </w:t>
      </w:r>
      <w:r>
        <w:rPr>
          <w:sz w:val="24"/>
          <w:szCs w:val="24"/>
        </w:rPr>
        <w:t>(1-1)</w:t>
      </w:r>
    </w:p>
    <w:p w:rsidR="00B40B60" w:rsidRDefault="00B40B60" w:rsidP="00B40B60">
      <w:pPr>
        <w:spacing w:line="480" w:lineRule="auto"/>
        <w:ind w:firstLineChars="150" w:firstLine="360"/>
        <w:rPr>
          <w:sz w:val="24"/>
          <w:szCs w:val="24"/>
        </w:rPr>
      </w:pPr>
      <w:r>
        <w:rPr>
          <w:sz w:val="24"/>
          <w:szCs w:val="24"/>
        </w:rPr>
        <w:t>FA</w:t>
      </w:r>
      <w:r>
        <w:rPr>
          <w:sz w:val="24"/>
          <w:szCs w:val="24"/>
          <w:vertAlign w:val="subscript"/>
        </w:rPr>
        <w:t>2</w:t>
      </w:r>
      <w:r>
        <w:rPr>
          <w:sz w:val="24"/>
          <w:szCs w:val="24"/>
        </w:rPr>
        <w:t xml:space="preserve"> = </w:t>
      </w:r>
      <w:proofErr w:type="gramStart"/>
      <w:r>
        <w:rPr>
          <w:color w:val="231F20"/>
          <w:kern w:val="0"/>
          <w:sz w:val="24"/>
          <w:szCs w:val="24"/>
        </w:rPr>
        <w:t>∑</w:t>
      </w:r>
      <w:r>
        <w:rPr>
          <w:sz w:val="24"/>
          <w:szCs w:val="24"/>
        </w:rPr>
        <w:t>[</w:t>
      </w:r>
      <w:proofErr w:type="gramEnd"/>
      <w:r>
        <w:rPr>
          <w:sz w:val="24"/>
          <w:szCs w:val="24"/>
        </w:rPr>
        <w:t>(</w:t>
      </w:r>
      <w:r>
        <w:rPr>
          <w:i/>
          <w:sz w:val="24"/>
          <w:szCs w:val="24"/>
        </w:rPr>
        <w:t>R</w:t>
      </w:r>
      <w:r>
        <w:rPr>
          <w:sz w:val="24"/>
          <w:szCs w:val="24"/>
        </w:rPr>
        <w:t xml:space="preserve"> - </w:t>
      </w:r>
      <w:r>
        <w:rPr>
          <w:i/>
          <w:sz w:val="24"/>
          <w:szCs w:val="24"/>
        </w:rPr>
        <w:t>L</w:t>
      </w:r>
      <w:r>
        <w:rPr>
          <w:sz w:val="24"/>
          <w:szCs w:val="24"/>
        </w:rPr>
        <w:t>)/</w:t>
      </w:r>
      <w:r>
        <w:rPr>
          <w:i/>
          <w:sz w:val="24"/>
          <w:szCs w:val="24"/>
        </w:rPr>
        <w:t>LS</w:t>
      </w:r>
      <w:r>
        <w:rPr>
          <w:sz w:val="24"/>
          <w:szCs w:val="24"/>
        </w:rPr>
        <w:t>]/</w:t>
      </w:r>
      <w:r>
        <w:rPr>
          <w:i/>
          <w:sz w:val="24"/>
          <w:szCs w:val="24"/>
        </w:rPr>
        <w:t xml:space="preserve">n                                                </w:t>
      </w:r>
      <w:r>
        <w:rPr>
          <w:sz w:val="24"/>
          <w:szCs w:val="24"/>
        </w:rPr>
        <w:t>(1-2)</w:t>
      </w:r>
    </w:p>
    <w:p w:rsidR="00B40B60" w:rsidRDefault="00B40B60" w:rsidP="00B40B60">
      <w:pPr>
        <w:autoSpaceDE w:val="0"/>
        <w:autoSpaceDN w:val="0"/>
        <w:adjustRightInd w:val="0"/>
        <w:spacing w:line="480" w:lineRule="auto"/>
        <w:ind w:firstLineChars="150" w:firstLine="360"/>
        <w:jc w:val="left"/>
        <w:rPr>
          <w:sz w:val="24"/>
          <w:szCs w:val="24"/>
        </w:rPr>
      </w:pPr>
      <w:r>
        <w:rPr>
          <w:sz w:val="24"/>
          <w:szCs w:val="24"/>
        </w:rPr>
        <w:t>FA</w:t>
      </w:r>
      <w:r>
        <w:rPr>
          <w:sz w:val="24"/>
          <w:szCs w:val="24"/>
          <w:vertAlign w:val="subscript"/>
        </w:rPr>
        <w:t>10</w:t>
      </w:r>
      <w:r>
        <w:rPr>
          <w:sz w:val="24"/>
          <w:szCs w:val="24"/>
        </w:rPr>
        <w:t xml:space="preserve"> = </w:t>
      </w:r>
      <w:r>
        <w:rPr>
          <w:i/>
          <w:sz w:val="24"/>
          <w:szCs w:val="24"/>
        </w:rPr>
        <w:t xml:space="preserve">0.798 </w:t>
      </w:r>
      <w:r>
        <w:rPr>
          <w:sz w:val="24"/>
          <w:szCs w:val="24"/>
        </w:rPr>
        <w:t>× √ (</w:t>
      </w:r>
      <w:proofErr w:type="spellStart"/>
      <w:r>
        <w:rPr>
          <w:i/>
          <w:sz w:val="24"/>
          <w:szCs w:val="24"/>
        </w:rPr>
        <w:t>MS</w:t>
      </w:r>
      <w:r>
        <w:rPr>
          <w:i/>
          <w:sz w:val="24"/>
          <w:szCs w:val="24"/>
          <w:vertAlign w:val="subscript"/>
        </w:rPr>
        <w:t>sj</w:t>
      </w:r>
      <w:proofErr w:type="spellEnd"/>
      <w:r>
        <w:rPr>
          <w:sz w:val="24"/>
          <w:szCs w:val="24"/>
          <w:vertAlign w:val="subscript"/>
        </w:rPr>
        <w:t xml:space="preserve"> </w:t>
      </w:r>
      <w:r>
        <w:rPr>
          <w:sz w:val="24"/>
          <w:szCs w:val="24"/>
        </w:rPr>
        <w:t xml:space="preserve">- </w:t>
      </w:r>
      <w:proofErr w:type="spellStart"/>
      <w:r>
        <w:rPr>
          <w:i/>
          <w:sz w:val="24"/>
          <w:szCs w:val="24"/>
        </w:rPr>
        <w:t>MS</w:t>
      </w:r>
      <w:r>
        <w:rPr>
          <w:i/>
          <w:sz w:val="24"/>
          <w:szCs w:val="24"/>
          <w:vertAlign w:val="subscript"/>
        </w:rPr>
        <w:t>m</w:t>
      </w:r>
      <w:proofErr w:type="spellEnd"/>
      <w:r>
        <w:rPr>
          <w:sz w:val="24"/>
          <w:szCs w:val="24"/>
        </w:rPr>
        <w:t xml:space="preserve">) / </w:t>
      </w:r>
      <w:r>
        <w:rPr>
          <w:i/>
          <w:sz w:val="24"/>
          <w:szCs w:val="24"/>
        </w:rPr>
        <w:t>M</w:t>
      </w:r>
      <w:r>
        <w:rPr>
          <w:sz w:val="24"/>
          <w:szCs w:val="24"/>
        </w:rPr>
        <w:t xml:space="preserve">                                      (1-3)</w:t>
      </w:r>
    </w:p>
    <w:p w:rsidR="00B40B60" w:rsidRDefault="00B40B60" w:rsidP="00B40B60">
      <w:pPr>
        <w:autoSpaceDE w:val="0"/>
        <w:autoSpaceDN w:val="0"/>
        <w:adjustRightInd w:val="0"/>
        <w:spacing w:line="480" w:lineRule="auto"/>
        <w:jc w:val="left"/>
        <w:rPr>
          <w:color w:val="231F20"/>
          <w:kern w:val="0"/>
          <w:sz w:val="24"/>
          <w:szCs w:val="24"/>
        </w:rPr>
      </w:pPr>
      <w:r>
        <w:rPr>
          <w:sz w:val="24"/>
          <w:szCs w:val="24"/>
        </w:rPr>
        <w:t xml:space="preserve">where </w:t>
      </w:r>
      <w:r>
        <w:rPr>
          <w:i/>
          <w:sz w:val="24"/>
          <w:szCs w:val="24"/>
        </w:rPr>
        <w:t>R</w:t>
      </w:r>
      <w:r>
        <w:rPr>
          <w:sz w:val="24"/>
          <w:szCs w:val="24"/>
        </w:rPr>
        <w:t xml:space="preserve"> and </w:t>
      </w:r>
      <w:r>
        <w:rPr>
          <w:i/>
          <w:sz w:val="24"/>
          <w:szCs w:val="24"/>
        </w:rPr>
        <w:t>L</w:t>
      </w:r>
      <w:r>
        <w:rPr>
          <w:sz w:val="24"/>
          <w:szCs w:val="24"/>
        </w:rPr>
        <w:t xml:space="preserve"> were the widths of right and left sides of a leaf, </w:t>
      </w:r>
      <w:r>
        <w:rPr>
          <w:i/>
          <w:sz w:val="24"/>
          <w:szCs w:val="24"/>
        </w:rPr>
        <w:t>n</w:t>
      </w:r>
      <w:r>
        <w:rPr>
          <w:sz w:val="24"/>
          <w:szCs w:val="24"/>
        </w:rPr>
        <w:t xml:space="preserve"> was the total number of leaves, and </w:t>
      </w:r>
      <w:r>
        <w:rPr>
          <w:i/>
          <w:sz w:val="24"/>
          <w:szCs w:val="24"/>
        </w:rPr>
        <w:t>LS</w:t>
      </w:r>
      <w:r>
        <w:rPr>
          <w:sz w:val="24"/>
          <w:szCs w:val="24"/>
        </w:rPr>
        <w:t xml:space="preserve"> (leaf size) was calculated by </w:t>
      </w:r>
      <w:r>
        <w:rPr>
          <w:color w:val="231F20"/>
          <w:kern w:val="0"/>
          <w:sz w:val="24"/>
          <w:szCs w:val="24"/>
        </w:rPr>
        <w:t>(</w:t>
      </w:r>
      <w:r>
        <w:rPr>
          <w:i/>
          <w:color w:val="231F20"/>
          <w:kern w:val="0"/>
          <w:sz w:val="24"/>
          <w:szCs w:val="24"/>
        </w:rPr>
        <w:t>R</w:t>
      </w:r>
      <w:r>
        <w:rPr>
          <w:color w:val="231F20"/>
          <w:kern w:val="0"/>
          <w:sz w:val="24"/>
          <w:szCs w:val="24"/>
        </w:rPr>
        <w:t>+</w:t>
      </w:r>
      <w:r>
        <w:rPr>
          <w:i/>
          <w:color w:val="231F20"/>
          <w:kern w:val="0"/>
          <w:sz w:val="24"/>
          <w:szCs w:val="24"/>
        </w:rPr>
        <w:t>L</w:t>
      </w:r>
      <w:r>
        <w:rPr>
          <w:color w:val="231F20"/>
          <w:kern w:val="0"/>
          <w:sz w:val="24"/>
          <w:szCs w:val="24"/>
        </w:rPr>
        <w:t>)/</w:t>
      </w:r>
      <w:r>
        <w:rPr>
          <w:i/>
          <w:color w:val="231F20"/>
          <w:kern w:val="0"/>
          <w:sz w:val="24"/>
          <w:szCs w:val="24"/>
        </w:rPr>
        <w:t>2</w:t>
      </w:r>
      <w:r>
        <w:rPr>
          <w:color w:val="231F20"/>
          <w:kern w:val="0"/>
          <w:sz w:val="24"/>
          <w:szCs w:val="24"/>
        </w:rPr>
        <w:t xml:space="preserve">, </w:t>
      </w:r>
      <w:proofErr w:type="spellStart"/>
      <w:r>
        <w:rPr>
          <w:i/>
          <w:sz w:val="24"/>
          <w:szCs w:val="24"/>
        </w:rPr>
        <w:t>MS</w:t>
      </w:r>
      <w:r>
        <w:rPr>
          <w:i/>
          <w:sz w:val="24"/>
          <w:szCs w:val="24"/>
          <w:vertAlign w:val="subscript"/>
        </w:rPr>
        <w:t>sj</w:t>
      </w:r>
      <w:proofErr w:type="spellEnd"/>
      <w:r>
        <w:rPr>
          <w:sz w:val="24"/>
          <w:szCs w:val="24"/>
          <w:vertAlign w:val="subscript"/>
        </w:rPr>
        <w:t xml:space="preserve"> </w:t>
      </w:r>
      <w:r>
        <w:rPr>
          <w:color w:val="231F20"/>
          <w:kern w:val="0"/>
          <w:sz w:val="24"/>
          <w:szCs w:val="24"/>
        </w:rPr>
        <w:t xml:space="preserve">was the mean squares of side </w:t>
      </w:r>
      <w:r>
        <w:rPr>
          <w:sz w:val="24"/>
          <w:szCs w:val="24"/>
        </w:rPr>
        <w:t>× individual interaction</w:t>
      </w:r>
      <w:r>
        <w:rPr>
          <w:color w:val="231F20"/>
          <w:kern w:val="0"/>
          <w:sz w:val="24"/>
          <w:szCs w:val="24"/>
        </w:rPr>
        <w:t xml:space="preserve">, </w:t>
      </w:r>
      <w:proofErr w:type="spellStart"/>
      <w:r>
        <w:rPr>
          <w:i/>
          <w:sz w:val="24"/>
          <w:szCs w:val="24"/>
        </w:rPr>
        <w:t>MS</w:t>
      </w:r>
      <w:r>
        <w:rPr>
          <w:i/>
          <w:sz w:val="24"/>
          <w:szCs w:val="24"/>
          <w:vertAlign w:val="subscript"/>
        </w:rPr>
        <w:t>m</w:t>
      </w:r>
      <w:proofErr w:type="spellEnd"/>
      <w:r>
        <w:rPr>
          <w:color w:val="231F20"/>
          <w:kern w:val="0"/>
          <w:sz w:val="24"/>
          <w:szCs w:val="24"/>
        </w:rPr>
        <w:t xml:space="preserve"> was the mean squares of measurement error, </w:t>
      </w:r>
      <w:r>
        <w:rPr>
          <w:i/>
          <w:color w:val="231F20"/>
          <w:kern w:val="0"/>
          <w:sz w:val="24"/>
          <w:szCs w:val="24"/>
        </w:rPr>
        <w:t>M</w:t>
      </w:r>
      <w:r>
        <w:rPr>
          <w:color w:val="231F20"/>
          <w:kern w:val="0"/>
          <w:sz w:val="24"/>
          <w:szCs w:val="24"/>
        </w:rPr>
        <w:t xml:space="preserve"> was the number of replicate measurements per side, from a side </w:t>
      </w:r>
      <w:r>
        <w:rPr>
          <w:sz w:val="24"/>
          <w:szCs w:val="24"/>
        </w:rPr>
        <w:t>×</w:t>
      </w:r>
      <w:r>
        <w:rPr>
          <w:color w:val="231F20"/>
          <w:kern w:val="0"/>
          <w:sz w:val="24"/>
          <w:szCs w:val="24"/>
        </w:rPr>
        <w:t xml:space="preserve"> individual ANOVA on untransformed replicate measurements of </w:t>
      </w:r>
      <w:r>
        <w:rPr>
          <w:i/>
          <w:color w:val="231F20"/>
          <w:kern w:val="0"/>
          <w:sz w:val="24"/>
          <w:szCs w:val="24"/>
        </w:rPr>
        <w:t>R</w:t>
      </w:r>
      <w:r>
        <w:rPr>
          <w:color w:val="231F20"/>
          <w:kern w:val="0"/>
          <w:sz w:val="24"/>
          <w:szCs w:val="24"/>
        </w:rPr>
        <w:t xml:space="preserve"> and </w:t>
      </w:r>
      <w:r>
        <w:rPr>
          <w:i/>
          <w:color w:val="231F20"/>
          <w:kern w:val="0"/>
          <w:sz w:val="24"/>
          <w:szCs w:val="24"/>
        </w:rPr>
        <w:t>L</w:t>
      </w:r>
      <w:r>
        <w:rPr>
          <w:color w:val="231F20"/>
          <w:kern w:val="0"/>
          <w:sz w:val="24"/>
          <w:szCs w:val="24"/>
        </w:rPr>
        <w:t>.</w:t>
      </w:r>
    </w:p>
    <w:p w:rsidR="00B40B60" w:rsidRDefault="00B40B60" w:rsidP="00B40B60">
      <w:pPr>
        <w:spacing w:line="480" w:lineRule="auto"/>
        <w:ind w:firstLineChars="100" w:firstLine="240"/>
        <w:rPr>
          <w:sz w:val="24"/>
          <w:szCs w:val="24"/>
        </w:rPr>
      </w:pPr>
      <w:r>
        <w:rPr>
          <w:sz w:val="24"/>
          <w:szCs w:val="24"/>
        </w:rPr>
        <w:t>Developmental canalization in leaf size was evaluated by coefficient of variation (CV, the standard deviation divided by mean value of the trait), including among-leaf CV (</w:t>
      </w:r>
      <w:proofErr w:type="spellStart"/>
      <w:r>
        <w:rPr>
          <w:sz w:val="24"/>
          <w:szCs w:val="24"/>
        </w:rPr>
        <w:t>CV</w:t>
      </w:r>
      <w:r>
        <w:rPr>
          <w:sz w:val="24"/>
          <w:szCs w:val="24"/>
          <w:vertAlign w:val="subscript"/>
        </w:rPr>
        <w:t>leaf</w:t>
      </w:r>
      <w:proofErr w:type="spellEnd"/>
      <w:r>
        <w:rPr>
          <w:sz w:val="24"/>
          <w:szCs w:val="24"/>
        </w:rPr>
        <w:t>) and among-individual CV (</w:t>
      </w:r>
      <w:proofErr w:type="spellStart"/>
      <w:r>
        <w:rPr>
          <w:sz w:val="24"/>
          <w:szCs w:val="24"/>
        </w:rPr>
        <w:t>CV</w:t>
      </w:r>
      <w:r>
        <w:rPr>
          <w:sz w:val="24"/>
          <w:szCs w:val="24"/>
          <w:vertAlign w:val="subscript"/>
        </w:rPr>
        <w:t>in</w:t>
      </w:r>
      <w:proofErr w:type="spellEnd"/>
      <w:r>
        <w:rPr>
          <w:sz w:val="24"/>
          <w:szCs w:val="24"/>
        </w:rPr>
        <w:t xml:space="preserve">). </w:t>
      </w:r>
    </w:p>
    <w:p w:rsidR="00B40B60" w:rsidRDefault="00B40B60" w:rsidP="00B40B60">
      <w:pPr>
        <w:spacing w:line="480" w:lineRule="auto"/>
        <w:ind w:firstLineChars="100" w:firstLine="240"/>
        <w:rPr>
          <w:sz w:val="24"/>
          <w:szCs w:val="24"/>
        </w:rPr>
      </w:pPr>
      <w:r>
        <w:rPr>
          <w:sz w:val="24"/>
          <w:szCs w:val="24"/>
        </w:rPr>
        <w:t>Plasticity in leaf size was calculated with the formula of simplified Relative Distance Plasticity Index (RD</w:t>
      </w:r>
      <w:r>
        <w:rPr>
          <w:color w:val="231F20"/>
          <w:kern w:val="0"/>
          <w:sz w:val="24"/>
          <w:szCs w:val="24"/>
        </w:rPr>
        <w:t>PI</w:t>
      </w:r>
      <w:r>
        <w:rPr>
          <w:color w:val="231F20"/>
          <w:kern w:val="0"/>
          <w:sz w:val="24"/>
          <w:szCs w:val="24"/>
          <w:vertAlign w:val="subscript"/>
        </w:rPr>
        <w:t>s</w:t>
      </w:r>
      <w:proofErr w:type="gramStart"/>
      <w:r>
        <w:rPr>
          <w:sz w:val="24"/>
          <w:szCs w:val="24"/>
        </w:rPr>
        <w:t>)</w:t>
      </w:r>
      <w:proofErr w:type="gramEnd"/>
      <w:r>
        <w:fldChar w:fldCharType="begin"/>
      </w:r>
      <w:r>
        <w:instrText xml:space="preserve"> HYPERLINK "" \l "_ENREF_50" \o "Valladares, 2006 #547" </w:instrText>
      </w:r>
      <w:r>
        <w:fldChar w:fldCharType="separate"/>
      </w:r>
      <w:r>
        <w:rPr>
          <w:rStyle w:val="a3"/>
          <w:sz w:val="24"/>
          <w:szCs w:val="24"/>
          <w:vertAlign w:val="superscript"/>
        </w:rPr>
        <w:t>50</w:t>
      </w:r>
      <w:r>
        <w:fldChar w:fldCharType="end"/>
      </w:r>
      <w:r>
        <w:rPr>
          <w:sz w:val="24"/>
          <w:szCs w:val="24"/>
        </w:rPr>
        <w:t>. We abbreviated RD</w:t>
      </w:r>
      <w:r>
        <w:rPr>
          <w:color w:val="231F20"/>
          <w:kern w:val="0"/>
          <w:sz w:val="24"/>
          <w:szCs w:val="24"/>
        </w:rPr>
        <w:t>PI</w:t>
      </w:r>
      <w:r>
        <w:rPr>
          <w:color w:val="231F20"/>
          <w:kern w:val="0"/>
          <w:sz w:val="24"/>
          <w:szCs w:val="24"/>
          <w:vertAlign w:val="subscript"/>
        </w:rPr>
        <w:t>s</w:t>
      </w:r>
      <w:r>
        <w:rPr>
          <w:sz w:val="24"/>
          <w:szCs w:val="24"/>
        </w:rPr>
        <w:t xml:space="preserve"> to PI for convenience, and we also calculated the degree of </w:t>
      </w:r>
      <w:r>
        <w:rPr>
          <w:color w:val="231F20"/>
          <w:kern w:val="0"/>
          <w:sz w:val="24"/>
          <w:szCs w:val="24"/>
        </w:rPr>
        <w:t>plasticity</w:t>
      </w:r>
      <w:r>
        <w:rPr>
          <w:sz w:val="24"/>
          <w:szCs w:val="24"/>
        </w:rPr>
        <w:t xml:space="preserve"> in leaf size as absolute plasticity (</w:t>
      </w:r>
      <w:proofErr w:type="spellStart"/>
      <w:r>
        <w:rPr>
          <w:color w:val="231F20"/>
          <w:kern w:val="0"/>
          <w:sz w:val="24"/>
          <w:szCs w:val="24"/>
        </w:rPr>
        <w:t>PI</w:t>
      </w:r>
      <w:r>
        <w:rPr>
          <w:color w:val="231F20"/>
          <w:kern w:val="0"/>
          <w:sz w:val="24"/>
          <w:szCs w:val="24"/>
          <w:vertAlign w:val="subscript"/>
        </w:rPr>
        <w:t>abs</w:t>
      </w:r>
      <w:proofErr w:type="spellEnd"/>
      <w:r>
        <w:rPr>
          <w:sz w:val="24"/>
          <w:szCs w:val="24"/>
        </w:rPr>
        <w:t>), corresponding to its relative plasticity (</w:t>
      </w:r>
      <w:proofErr w:type="spellStart"/>
      <w:r>
        <w:rPr>
          <w:color w:val="231F20"/>
          <w:kern w:val="0"/>
          <w:sz w:val="24"/>
          <w:szCs w:val="24"/>
        </w:rPr>
        <w:t>PI</w:t>
      </w:r>
      <w:r>
        <w:rPr>
          <w:color w:val="231F20"/>
          <w:kern w:val="0"/>
          <w:sz w:val="24"/>
          <w:szCs w:val="24"/>
          <w:vertAlign w:val="subscript"/>
        </w:rPr>
        <w:t>rel</w:t>
      </w:r>
      <w:proofErr w:type="spellEnd"/>
      <w:r>
        <w:rPr>
          <w:sz w:val="24"/>
          <w:szCs w:val="24"/>
        </w:rPr>
        <w:t xml:space="preserve">): </w:t>
      </w:r>
    </w:p>
    <w:p w:rsidR="00B40B60" w:rsidRDefault="00B40B60" w:rsidP="00B40B60">
      <w:pPr>
        <w:spacing w:line="480" w:lineRule="auto"/>
        <w:ind w:firstLineChars="150" w:firstLine="360"/>
        <w:rPr>
          <w:color w:val="231F20"/>
          <w:kern w:val="0"/>
          <w:sz w:val="24"/>
          <w:szCs w:val="24"/>
        </w:rPr>
      </w:pPr>
      <w:proofErr w:type="spellStart"/>
      <w:r>
        <w:rPr>
          <w:color w:val="231F20"/>
          <w:kern w:val="0"/>
          <w:sz w:val="24"/>
          <w:szCs w:val="24"/>
        </w:rPr>
        <w:t>PI</w:t>
      </w:r>
      <w:r>
        <w:rPr>
          <w:color w:val="231F20"/>
          <w:kern w:val="0"/>
          <w:sz w:val="24"/>
          <w:szCs w:val="24"/>
          <w:vertAlign w:val="subscript"/>
        </w:rPr>
        <w:t>rel</w:t>
      </w:r>
      <w:proofErr w:type="spellEnd"/>
      <w:r>
        <w:rPr>
          <w:color w:val="231F20"/>
          <w:kern w:val="0"/>
          <w:sz w:val="24"/>
          <w:szCs w:val="24"/>
        </w:rPr>
        <w:t xml:space="preserve"> </w:t>
      </w:r>
      <w:r>
        <w:rPr>
          <w:color w:val="231F20"/>
          <w:kern w:val="0"/>
          <w:sz w:val="24"/>
          <w:szCs w:val="24"/>
        </w:rPr>
        <w:softHyphen/>
        <w:t>= (</w:t>
      </w:r>
      <w:r>
        <w:rPr>
          <w:i/>
          <w:iCs/>
          <w:color w:val="231F20"/>
          <w:kern w:val="0"/>
          <w:sz w:val="24"/>
          <w:szCs w:val="24"/>
        </w:rPr>
        <w:t>X</w:t>
      </w:r>
      <w:r>
        <w:rPr>
          <w:i/>
          <w:iCs/>
          <w:color w:val="231F20"/>
          <w:kern w:val="0"/>
          <w:sz w:val="24"/>
          <w:szCs w:val="24"/>
          <w:vertAlign w:val="subscript"/>
        </w:rPr>
        <w:t xml:space="preserve"> </w:t>
      </w:r>
      <w:r>
        <w:rPr>
          <w:color w:val="231F20"/>
          <w:kern w:val="0"/>
          <w:sz w:val="24"/>
          <w:szCs w:val="24"/>
        </w:rPr>
        <w:t xml:space="preserve">– </w:t>
      </w:r>
      <w:r>
        <w:rPr>
          <w:i/>
          <w:iCs/>
          <w:color w:val="231F20"/>
          <w:kern w:val="0"/>
          <w:sz w:val="24"/>
          <w:szCs w:val="24"/>
        </w:rPr>
        <w:t>Y</w:t>
      </w:r>
      <w:r>
        <w:rPr>
          <w:color w:val="231F20"/>
          <w:kern w:val="0"/>
          <w:sz w:val="24"/>
          <w:szCs w:val="24"/>
        </w:rPr>
        <w:t>)/(</w:t>
      </w:r>
      <w:r>
        <w:rPr>
          <w:i/>
          <w:iCs/>
          <w:color w:val="231F20"/>
          <w:kern w:val="0"/>
          <w:sz w:val="24"/>
          <w:szCs w:val="24"/>
        </w:rPr>
        <w:t xml:space="preserve">X </w:t>
      </w:r>
      <w:r>
        <w:rPr>
          <w:color w:val="231F20"/>
          <w:kern w:val="0"/>
          <w:sz w:val="24"/>
          <w:szCs w:val="24"/>
        </w:rPr>
        <w:t xml:space="preserve">+ </w:t>
      </w:r>
      <w:r>
        <w:rPr>
          <w:i/>
          <w:iCs/>
          <w:color w:val="231F20"/>
          <w:kern w:val="0"/>
          <w:sz w:val="24"/>
          <w:szCs w:val="24"/>
        </w:rPr>
        <w:t>Y</w:t>
      </w:r>
      <w:r>
        <w:rPr>
          <w:color w:val="231F20"/>
          <w:kern w:val="0"/>
          <w:sz w:val="24"/>
          <w:szCs w:val="24"/>
        </w:rPr>
        <w:t>)                                                  (2-1)</w:t>
      </w:r>
    </w:p>
    <w:p w:rsidR="00B40B60" w:rsidRDefault="00B40B60" w:rsidP="00B40B60">
      <w:pPr>
        <w:spacing w:line="480" w:lineRule="auto"/>
        <w:rPr>
          <w:sz w:val="24"/>
          <w:szCs w:val="24"/>
        </w:rPr>
      </w:pPr>
      <w:r>
        <w:rPr>
          <w:sz w:val="24"/>
          <w:szCs w:val="24"/>
        </w:rPr>
        <w:t xml:space="preserve">   </w:t>
      </w:r>
      <w:proofErr w:type="spellStart"/>
      <w:r>
        <w:rPr>
          <w:color w:val="231F20"/>
          <w:kern w:val="0"/>
          <w:sz w:val="24"/>
          <w:szCs w:val="24"/>
        </w:rPr>
        <w:t>PI</w:t>
      </w:r>
      <w:r>
        <w:rPr>
          <w:color w:val="231F20"/>
          <w:kern w:val="0"/>
          <w:sz w:val="24"/>
          <w:szCs w:val="24"/>
          <w:vertAlign w:val="subscript"/>
        </w:rPr>
        <w:t>abs</w:t>
      </w:r>
      <w:proofErr w:type="spellEnd"/>
      <w:r>
        <w:rPr>
          <w:color w:val="231F20"/>
          <w:kern w:val="0"/>
          <w:sz w:val="24"/>
          <w:szCs w:val="24"/>
        </w:rPr>
        <w:t xml:space="preserve"> </w:t>
      </w:r>
      <w:r>
        <w:rPr>
          <w:color w:val="231F20"/>
          <w:kern w:val="0"/>
          <w:sz w:val="24"/>
          <w:szCs w:val="24"/>
        </w:rPr>
        <w:softHyphen/>
        <w:t>= | (</w:t>
      </w:r>
      <w:r>
        <w:rPr>
          <w:i/>
          <w:iCs/>
          <w:color w:val="231F20"/>
          <w:kern w:val="0"/>
          <w:sz w:val="24"/>
          <w:szCs w:val="24"/>
        </w:rPr>
        <w:t>X</w:t>
      </w:r>
      <w:r>
        <w:rPr>
          <w:i/>
          <w:iCs/>
          <w:color w:val="231F20"/>
          <w:kern w:val="0"/>
          <w:sz w:val="24"/>
          <w:szCs w:val="24"/>
          <w:vertAlign w:val="subscript"/>
        </w:rPr>
        <w:t xml:space="preserve"> </w:t>
      </w:r>
      <w:r>
        <w:rPr>
          <w:color w:val="231F20"/>
          <w:kern w:val="0"/>
          <w:sz w:val="24"/>
          <w:szCs w:val="24"/>
        </w:rPr>
        <w:t xml:space="preserve">– </w:t>
      </w:r>
      <w:r>
        <w:rPr>
          <w:i/>
          <w:iCs/>
          <w:color w:val="231F20"/>
          <w:kern w:val="0"/>
          <w:sz w:val="24"/>
          <w:szCs w:val="24"/>
        </w:rPr>
        <w:t>Y</w:t>
      </w:r>
      <w:r>
        <w:rPr>
          <w:color w:val="231F20"/>
          <w:kern w:val="0"/>
          <w:sz w:val="24"/>
          <w:szCs w:val="24"/>
        </w:rPr>
        <w:t>)/(</w:t>
      </w:r>
      <w:r>
        <w:rPr>
          <w:i/>
          <w:iCs/>
          <w:color w:val="231F20"/>
          <w:kern w:val="0"/>
          <w:sz w:val="24"/>
          <w:szCs w:val="24"/>
        </w:rPr>
        <w:t xml:space="preserve">X </w:t>
      </w:r>
      <w:r>
        <w:rPr>
          <w:color w:val="231F20"/>
          <w:kern w:val="0"/>
          <w:sz w:val="24"/>
          <w:szCs w:val="24"/>
        </w:rPr>
        <w:t xml:space="preserve">+ </w:t>
      </w:r>
      <w:r>
        <w:rPr>
          <w:i/>
          <w:iCs/>
          <w:color w:val="231F20"/>
          <w:kern w:val="0"/>
          <w:sz w:val="24"/>
          <w:szCs w:val="24"/>
        </w:rPr>
        <w:t>Y</w:t>
      </w:r>
      <w:r>
        <w:rPr>
          <w:color w:val="231F20"/>
          <w:kern w:val="0"/>
          <w:sz w:val="24"/>
          <w:szCs w:val="24"/>
        </w:rPr>
        <w:t>)</w:t>
      </w:r>
      <w:r>
        <w:t xml:space="preserve"> </w:t>
      </w:r>
      <w:r>
        <w:rPr>
          <w:color w:val="231F20"/>
          <w:kern w:val="0"/>
          <w:sz w:val="24"/>
          <w:szCs w:val="24"/>
        </w:rPr>
        <w:t>|                                                (2-2)</w:t>
      </w:r>
    </w:p>
    <w:p w:rsidR="00B40B60" w:rsidRDefault="00B40B60" w:rsidP="00B40B60">
      <w:pPr>
        <w:spacing w:line="480" w:lineRule="auto"/>
        <w:rPr>
          <w:sz w:val="24"/>
          <w:szCs w:val="24"/>
        </w:rPr>
      </w:pPr>
      <w:proofErr w:type="gramStart"/>
      <w:r>
        <w:rPr>
          <w:sz w:val="24"/>
          <w:szCs w:val="24"/>
        </w:rPr>
        <w:t>where</w:t>
      </w:r>
      <w:proofErr w:type="gramEnd"/>
      <w:r>
        <w:rPr>
          <w:i/>
          <w:iCs/>
          <w:color w:val="231F20"/>
          <w:kern w:val="0"/>
          <w:sz w:val="24"/>
          <w:szCs w:val="24"/>
        </w:rPr>
        <w:t xml:space="preserve"> X</w:t>
      </w:r>
      <w:r>
        <w:rPr>
          <w:i/>
          <w:iCs/>
          <w:color w:val="231F20"/>
          <w:kern w:val="0"/>
          <w:sz w:val="24"/>
          <w:szCs w:val="24"/>
          <w:vertAlign w:val="subscript"/>
        </w:rPr>
        <w:t xml:space="preserve"> </w:t>
      </w:r>
      <w:r>
        <w:rPr>
          <w:iCs/>
          <w:color w:val="231F20"/>
          <w:kern w:val="0"/>
          <w:sz w:val="24"/>
          <w:szCs w:val="24"/>
        </w:rPr>
        <w:t xml:space="preserve">was the adjusted mean leaf size at high or medium density, and </w:t>
      </w:r>
      <w:r>
        <w:rPr>
          <w:i/>
          <w:iCs/>
          <w:color w:val="231F20"/>
          <w:kern w:val="0"/>
          <w:sz w:val="24"/>
          <w:szCs w:val="24"/>
        </w:rPr>
        <w:t>Y</w:t>
      </w:r>
      <w:r>
        <w:rPr>
          <w:iCs/>
          <w:color w:val="231F20"/>
          <w:kern w:val="0"/>
          <w:sz w:val="24"/>
          <w:szCs w:val="24"/>
        </w:rPr>
        <w:t xml:space="preserve"> was the adjusted mean leaf size at low density</w:t>
      </w:r>
      <w:r>
        <w:rPr>
          <w:sz w:val="24"/>
          <w:szCs w:val="24"/>
        </w:rPr>
        <w:t>. Therefore, plasticity indexes included those in response to high vs. low density (</w:t>
      </w:r>
      <w:proofErr w:type="spellStart"/>
      <w:r>
        <w:rPr>
          <w:sz w:val="24"/>
          <w:szCs w:val="24"/>
        </w:rPr>
        <w:t>PI</w:t>
      </w:r>
      <w:r>
        <w:rPr>
          <w:sz w:val="24"/>
          <w:szCs w:val="24"/>
          <w:vertAlign w:val="subscript"/>
        </w:rPr>
        <w:t>rel</w:t>
      </w:r>
      <w:proofErr w:type="spellEnd"/>
      <w:r>
        <w:rPr>
          <w:sz w:val="24"/>
          <w:szCs w:val="24"/>
          <w:vertAlign w:val="subscript"/>
        </w:rPr>
        <w:t>-HL</w:t>
      </w:r>
      <w:r>
        <w:rPr>
          <w:sz w:val="24"/>
          <w:szCs w:val="24"/>
        </w:rPr>
        <w:t xml:space="preserve"> and </w:t>
      </w:r>
      <w:proofErr w:type="spellStart"/>
      <w:r>
        <w:rPr>
          <w:sz w:val="24"/>
          <w:szCs w:val="24"/>
        </w:rPr>
        <w:t>PI</w:t>
      </w:r>
      <w:r>
        <w:rPr>
          <w:sz w:val="24"/>
          <w:szCs w:val="24"/>
          <w:vertAlign w:val="subscript"/>
        </w:rPr>
        <w:t>abs</w:t>
      </w:r>
      <w:proofErr w:type="spellEnd"/>
      <w:r>
        <w:rPr>
          <w:sz w:val="24"/>
          <w:szCs w:val="24"/>
          <w:vertAlign w:val="subscript"/>
        </w:rPr>
        <w:t>-HL</w:t>
      </w:r>
      <w:r>
        <w:rPr>
          <w:sz w:val="24"/>
          <w:szCs w:val="24"/>
        </w:rPr>
        <w:t>) and in response to medium vs. low density (</w:t>
      </w:r>
      <w:proofErr w:type="spellStart"/>
      <w:r>
        <w:rPr>
          <w:sz w:val="24"/>
          <w:szCs w:val="24"/>
        </w:rPr>
        <w:t>PI</w:t>
      </w:r>
      <w:r>
        <w:rPr>
          <w:sz w:val="24"/>
          <w:szCs w:val="24"/>
          <w:vertAlign w:val="subscript"/>
        </w:rPr>
        <w:t>rel</w:t>
      </w:r>
      <w:proofErr w:type="spellEnd"/>
      <w:r>
        <w:rPr>
          <w:sz w:val="24"/>
          <w:szCs w:val="24"/>
          <w:vertAlign w:val="subscript"/>
        </w:rPr>
        <w:t>-ML</w:t>
      </w:r>
      <w:r>
        <w:rPr>
          <w:sz w:val="24"/>
          <w:szCs w:val="24"/>
        </w:rPr>
        <w:t xml:space="preserve"> and </w:t>
      </w:r>
      <w:proofErr w:type="spellStart"/>
      <w:r>
        <w:rPr>
          <w:sz w:val="24"/>
          <w:szCs w:val="24"/>
        </w:rPr>
        <w:t>PI</w:t>
      </w:r>
      <w:r>
        <w:rPr>
          <w:sz w:val="24"/>
          <w:szCs w:val="24"/>
          <w:vertAlign w:val="subscript"/>
        </w:rPr>
        <w:t>abs</w:t>
      </w:r>
      <w:proofErr w:type="spellEnd"/>
      <w:r>
        <w:rPr>
          <w:sz w:val="24"/>
          <w:szCs w:val="24"/>
          <w:vertAlign w:val="subscript"/>
        </w:rPr>
        <w:t>-ML</w:t>
      </w:r>
      <w:r>
        <w:rPr>
          <w:sz w:val="24"/>
          <w:szCs w:val="24"/>
        </w:rPr>
        <w:t xml:space="preserve">). </w:t>
      </w:r>
    </w:p>
    <w:p w:rsidR="00B40B60" w:rsidRDefault="00B40B60" w:rsidP="00B40B60">
      <w:pPr>
        <w:spacing w:line="480" w:lineRule="auto"/>
        <w:ind w:firstLineChars="100" w:firstLine="240"/>
        <w:rPr>
          <w:kern w:val="0"/>
          <w:sz w:val="24"/>
          <w:szCs w:val="24"/>
        </w:rPr>
      </w:pPr>
      <w:r>
        <w:rPr>
          <w:sz w:val="24"/>
          <w:szCs w:val="24"/>
        </w:rPr>
        <w:t xml:space="preserve">All variables for traits were used in statistics, and the original data was log-transformed, </w:t>
      </w:r>
      <w:r>
        <w:rPr>
          <w:sz w:val="24"/>
          <w:szCs w:val="24"/>
        </w:rPr>
        <w:lastRenderedPageBreak/>
        <w:t>petiole angles were square root-transformed, before any analysis to minimize variance heterogeneity. All analyses were conducted using SAS statistical software (SAS Institute 9.0 Inc. 2002).</w:t>
      </w:r>
      <w:r>
        <w:rPr>
          <w:kern w:val="0"/>
          <w:sz w:val="24"/>
          <w:szCs w:val="24"/>
        </w:rPr>
        <w:t xml:space="preserve"> Three-way ANOVA was performed for overall effects of growth stage, soil conditions, population density and their interactions on</w:t>
      </w:r>
      <w:r>
        <w:rPr>
          <w:color w:val="231F20"/>
          <w:kern w:val="0"/>
          <w:sz w:val="24"/>
          <w:szCs w:val="24"/>
        </w:rPr>
        <w:t xml:space="preserve"> all variables</w:t>
      </w:r>
      <w:r>
        <w:rPr>
          <w:kern w:val="0"/>
          <w:sz w:val="24"/>
          <w:szCs w:val="24"/>
        </w:rPr>
        <w:t>.</w:t>
      </w:r>
      <w:r>
        <w:rPr>
          <w:sz w:val="24"/>
          <w:szCs w:val="24"/>
        </w:rPr>
        <w:t xml:space="preserve"> Then we used one-way ANOVA for effects of density on all variables in each soil conditions at each stage and across all soils and stages</w:t>
      </w:r>
      <w:r>
        <w:rPr>
          <w:rFonts w:hint="eastAsia"/>
          <w:sz w:val="24"/>
          <w:szCs w:val="24"/>
        </w:rPr>
        <w:t>.</w:t>
      </w:r>
      <w:r>
        <w:rPr>
          <w:sz w:val="24"/>
          <w:szCs w:val="24"/>
        </w:rPr>
        <w:t xml:space="preserve"> Multiple comparisons used</w:t>
      </w:r>
      <w:r>
        <w:rPr>
          <w:kern w:val="0"/>
          <w:sz w:val="24"/>
          <w:szCs w:val="24"/>
        </w:rPr>
        <w:t xml:space="preserve"> LSD method in General Linear Model (GLM) </w:t>
      </w:r>
      <w:proofErr w:type="gramStart"/>
      <w:r>
        <w:rPr>
          <w:kern w:val="0"/>
          <w:sz w:val="24"/>
          <w:szCs w:val="24"/>
        </w:rPr>
        <w:t>program</w:t>
      </w:r>
      <w:proofErr w:type="gramEnd"/>
      <w:r>
        <w:rPr>
          <w:sz w:val="24"/>
          <w:szCs w:val="24"/>
        </w:rPr>
        <w:t xml:space="preserve">. </w:t>
      </w:r>
      <w:r>
        <w:rPr>
          <w:kern w:val="0"/>
          <w:sz w:val="24"/>
          <w:szCs w:val="24"/>
        </w:rPr>
        <w:t xml:space="preserve">For each of and across all treatments, correlations among all variables were analyzed with PROC CORR, producing Pearson Correlation Coefficients (PCC) for all correlations and Partial Pearson Correlation </w:t>
      </w:r>
      <w:bookmarkStart w:id="0" w:name="_GoBack"/>
      <w:bookmarkEnd w:id="0"/>
      <w:r>
        <w:rPr>
          <w:kern w:val="0"/>
          <w:sz w:val="24"/>
          <w:szCs w:val="24"/>
        </w:rPr>
        <w:t xml:space="preserve">Coefficients (PPCC) for correlations among leaf FAs, CVs and PIs, with </w:t>
      </w:r>
      <w:r>
        <w:rPr>
          <w:rFonts w:hint="eastAsia"/>
          <w:kern w:val="0"/>
          <w:sz w:val="24"/>
          <w:szCs w:val="24"/>
        </w:rPr>
        <w:t>leaf size</w:t>
      </w:r>
      <w:r>
        <w:rPr>
          <w:kern w:val="0"/>
          <w:sz w:val="24"/>
          <w:szCs w:val="24"/>
        </w:rPr>
        <w:t xml:space="preserve"> as covariate in partial correlation analyses.</w:t>
      </w:r>
    </w:p>
    <w:p w:rsidR="00B40B60" w:rsidRDefault="00B40B60"/>
    <w:p w:rsidR="00B40B60" w:rsidRDefault="00B40B60">
      <w:r>
        <w:rPr>
          <w:rFonts w:hint="eastAsia"/>
        </w:rPr>
        <w:t>S</w:t>
      </w:r>
      <w:r>
        <w:t>hu Wang</w:t>
      </w:r>
    </w:p>
    <w:p w:rsidR="00B40B60" w:rsidRPr="00B40B60" w:rsidRDefault="00B40B60">
      <w:pPr>
        <w:rPr>
          <w:rFonts w:hint="eastAsia"/>
        </w:rPr>
      </w:pPr>
      <w:r>
        <w:rPr>
          <w:rFonts w:hint="eastAsia"/>
        </w:rPr>
        <w:t>2</w:t>
      </w:r>
      <w:r>
        <w:t>021.7.23</w:t>
      </w:r>
    </w:p>
    <w:p w:rsidR="00B40B60" w:rsidRDefault="00B40B60">
      <w:pPr>
        <w:rPr>
          <w:rFonts w:hint="eastAsia"/>
        </w:rPr>
      </w:pPr>
    </w:p>
    <w:sectPr w:rsidR="00B40B60" w:rsidSect="00B40B60">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60"/>
    <w:rsid w:val="000F2E67"/>
    <w:rsid w:val="00B4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2C6C"/>
  <w15:chartTrackingRefBased/>
  <w15:docId w15:val="{3EAEB2C6-E11E-4EA4-A774-3B60F5F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6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4472">
      <w:bodyDiv w:val="1"/>
      <w:marLeft w:val="0"/>
      <w:marRight w:val="0"/>
      <w:marTop w:val="0"/>
      <w:marBottom w:val="0"/>
      <w:divBdr>
        <w:top w:val="none" w:sz="0" w:space="0" w:color="auto"/>
        <w:left w:val="none" w:sz="0" w:space="0" w:color="auto"/>
        <w:bottom w:val="none" w:sz="0" w:space="0" w:color="auto"/>
        <w:right w:val="none" w:sz="0" w:space="0" w:color="auto"/>
      </w:divBdr>
    </w:div>
    <w:div w:id="12246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4081</Characters>
  <Application>Microsoft Office Word</Application>
  <DocSecurity>0</DocSecurity>
  <Lines>34</Lines>
  <Paragraphs>9</Paragraphs>
  <ScaleCrop>false</ScaleCrop>
  <Company>HP Inc.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2021-07-23T02:45:00Z</dcterms:created>
  <dcterms:modified xsi:type="dcterms:W3CDTF">2021-07-23T02:49:00Z</dcterms:modified>
</cp:coreProperties>
</file>