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2072"/>
        <w:gridCol w:w="2505"/>
        <w:gridCol w:w="2700"/>
      </w:tblGrid>
      <w:tr w:rsidR="004F3CED" w14:paraId="6E9BF6E1" w14:textId="77777777" w:rsidTr="004F3CED">
        <w:trPr>
          <w:trHeight w:val="530"/>
        </w:trPr>
        <w:tc>
          <w:tcPr>
            <w:tcW w:w="2072" w:type="dxa"/>
          </w:tcPr>
          <w:p w14:paraId="39BF8424" w14:textId="77777777" w:rsidR="004F3CED" w:rsidRDefault="004F3CED" w:rsidP="004F3CED">
            <w:pPr>
              <w:jc w:val="center"/>
            </w:pPr>
          </w:p>
        </w:tc>
        <w:tc>
          <w:tcPr>
            <w:tcW w:w="2505" w:type="dxa"/>
          </w:tcPr>
          <w:p w14:paraId="33F5E4CF" w14:textId="3D3EA92A" w:rsidR="004F3CED" w:rsidRDefault="004F3CED" w:rsidP="004F3CED">
            <w:pPr>
              <w:jc w:val="center"/>
            </w:pPr>
            <w:r>
              <w:t>Gene Name</w:t>
            </w:r>
          </w:p>
        </w:tc>
        <w:tc>
          <w:tcPr>
            <w:tcW w:w="2700" w:type="dxa"/>
          </w:tcPr>
          <w:p w14:paraId="7B57B3DC" w14:textId="6A341C04" w:rsidR="004F3CED" w:rsidRDefault="004F3CED" w:rsidP="004F3CED">
            <w:pPr>
              <w:jc w:val="center"/>
            </w:pPr>
            <w:r>
              <w:t>Pearson Coefficient</w:t>
            </w:r>
          </w:p>
        </w:tc>
      </w:tr>
      <w:tr w:rsidR="004F3CED" w14:paraId="29690AC2" w14:textId="77777777" w:rsidTr="004F3CED">
        <w:tc>
          <w:tcPr>
            <w:tcW w:w="2072" w:type="dxa"/>
            <w:vMerge w:val="restart"/>
            <w:vAlign w:val="center"/>
          </w:tcPr>
          <w:p w14:paraId="78A02CCE" w14:textId="64EBB2DB" w:rsidR="004F3CED" w:rsidRDefault="004F3CED" w:rsidP="004F3CED">
            <w:pPr>
              <w:jc w:val="center"/>
            </w:pPr>
            <w:r>
              <w:t>Pericentral</w:t>
            </w:r>
          </w:p>
        </w:tc>
        <w:tc>
          <w:tcPr>
            <w:tcW w:w="2505" w:type="dxa"/>
          </w:tcPr>
          <w:p w14:paraId="705B0E98" w14:textId="033D2D27" w:rsidR="004F3CED" w:rsidRDefault="004F3CED" w:rsidP="004F3CED">
            <w:r>
              <w:t>Cyp2e1</w:t>
            </w:r>
          </w:p>
        </w:tc>
        <w:tc>
          <w:tcPr>
            <w:tcW w:w="2700" w:type="dxa"/>
          </w:tcPr>
          <w:p w14:paraId="704BDCF8" w14:textId="01FEE31D" w:rsidR="004F3CED" w:rsidRDefault="004F3CED" w:rsidP="004F3CED">
            <w:pPr>
              <w:jc w:val="center"/>
            </w:pPr>
            <w:r>
              <w:t>0.979</w:t>
            </w:r>
          </w:p>
        </w:tc>
      </w:tr>
      <w:tr w:rsidR="004F3CED" w14:paraId="21A835C0" w14:textId="77777777" w:rsidTr="004F3CED">
        <w:tc>
          <w:tcPr>
            <w:tcW w:w="2072" w:type="dxa"/>
            <w:vMerge/>
          </w:tcPr>
          <w:p w14:paraId="0CD748F2" w14:textId="77777777" w:rsidR="004F3CED" w:rsidRDefault="004F3CED" w:rsidP="004F3CED"/>
        </w:tc>
        <w:tc>
          <w:tcPr>
            <w:tcW w:w="2505" w:type="dxa"/>
          </w:tcPr>
          <w:p w14:paraId="3DCE8746" w14:textId="33E3C995" w:rsidR="004F3CED" w:rsidRDefault="004F3CED" w:rsidP="004F3CED">
            <w:r>
              <w:t>Cyp1a2</w:t>
            </w:r>
          </w:p>
        </w:tc>
        <w:tc>
          <w:tcPr>
            <w:tcW w:w="2700" w:type="dxa"/>
          </w:tcPr>
          <w:p w14:paraId="37285741" w14:textId="3D492BCE" w:rsidR="004F3CED" w:rsidRDefault="004F3CED" w:rsidP="004F3CED">
            <w:pPr>
              <w:jc w:val="center"/>
            </w:pPr>
            <w:r>
              <w:t>0.944</w:t>
            </w:r>
          </w:p>
        </w:tc>
      </w:tr>
      <w:tr w:rsidR="004F3CED" w14:paraId="7C9AA0C9" w14:textId="77777777" w:rsidTr="004F3CED">
        <w:tc>
          <w:tcPr>
            <w:tcW w:w="2072" w:type="dxa"/>
            <w:vMerge/>
          </w:tcPr>
          <w:p w14:paraId="4F23DECD" w14:textId="77777777" w:rsidR="004F3CED" w:rsidRDefault="004F3CED" w:rsidP="004F3CED"/>
        </w:tc>
        <w:tc>
          <w:tcPr>
            <w:tcW w:w="2505" w:type="dxa"/>
          </w:tcPr>
          <w:p w14:paraId="4D22D81F" w14:textId="3A162755" w:rsidR="004F3CED" w:rsidRDefault="004F3CED" w:rsidP="004F3CED">
            <w:r>
              <w:t>Oat</w:t>
            </w:r>
          </w:p>
        </w:tc>
        <w:tc>
          <w:tcPr>
            <w:tcW w:w="2700" w:type="dxa"/>
          </w:tcPr>
          <w:p w14:paraId="4CCA0124" w14:textId="13AD0F85" w:rsidR="004F3CED" w:rsidRDefault="004F3CED" w:rsidP="004F3CED">
            <w:pPr>
              <w:jc w:val="center"/>
            </w:pPr>
            <w:r>
              <w:t>0.907</w:t>
            </w:r>
          </w:p>
        </w:tc>
      </w:tr>
      <w:tr w:rsidR="004F3CED" w14:paraId="6C161C3D" w14:textId="77777777" w:rsidTr="004F3CED">
        <w:tc>
          <w:tcPr>
            <w:tcW w:w="2072" w:type="dxa"/>
            <w:vMerge/>
          </w:tcPr>
          <w:p w14:paraId="057A928F" w14:textId="77777777" w:rsidR="004F3CED" w:rsidRDefault="004F3CED" w:rsidP="004F3CED"/>
        </w:tc>
        <w:tc>
          <w:tcPr>
            <w:tcW w:w="2505" w:type="dxa"/>
          </w:tcPr>
          <w:p w14:paraId="53172FA3" w14:textId="2E272E1F" w:rsidR="004F3CED" w:rsidRDefault="004F3CED" w:rsidP="004F3CED">
            <w:r>
              <w:t>Rgn</w:t>
            </w:r>
          </w:p>
        </w:tc>
        <w:tc>
          <w:tcPr>
            <w:tcW w:w="2700" w:type="dxa"/>
          </w:tcPr>
          <w:p w14:paraId="3B8B5A5B" w14:textId="34DB8077" w:rsidR="004F3CED" w:rsidRDefault="004F3CED" w:rsidP="004F3CED">
            <w:pPr>
              <w:jc w:val="center"/>
            </w:pPr>
            <w:r>
              <w:t>0.971</w:t>
            </w:r>
          </w:p>
        </w:tc>
      </w:tr>
      <w:tr w:rsidR="004F3CED" w14:paraId="019AB37A" w14:textId="77777777" w:rsidTr="004F3CED">
        <w:tc>
          <w:tcPr>
            <w:tcW w:w="2072" w:type="dxa"/>
            <w:vMerge w:val="restart"/>
            <w:vAlign w:val="center"/>
          </w:tcPr>
          <w:p w14:paraId="05124BCC" w14:textId="528F6953" w:rsidR="004F3CED" w:rsidRDefault="004F3CED" w:rsidP="004F3CED">
            <w:pPr>
              <w:jc w:val="center"/>
            </w:pPr>
            <w:r>
              <w:t>Periportal</w:t>
            </w:r>
          </w:p>
        </w:tc>
        <w:tc>
          <w:tcPr>
            <w:tcW w:w="2505" w:type="dxa"/>
          </w:tcPr>
          <w:p w14:paraId="27463F6E" w14:textId="4A553996" w:rsidR="004F3CED" w:rsidRDefault="004F3CED" w:rsidP="004F3CED">
            <w:r>
              <w:t>Cyp2f2</w:t>
            </w:r>
          </w:p>
        </w:tc>
        <w:tc>
          <w:tcPr>
            <w:tcW w:w="2700" w:type="dxa"/>
          </w:tcPr>
          <w:p w14:paraId="4CFC2EC2" w14:textId="2B51E237" w:rsidR="004F3CED" w:rsidRDefault="004F3CED" w:rsidP="004F3CED">
            <w:pPr>
              <w:jc w:val="center"/>
            </w:pPr>
            <w:r>
              <w:t>0.954</w:t>
            </w:r>
          </w:p>
        </w:tc>
      </w:tr>
      <w:tr w:rsidR="004F3CED" w14:paraId="3508791E" w14:textId="77777777" w:rsidTr="004F3CED">
        <w:tc>
          <w:tcPr>
            <w:tcW w:w="2072" w:type="dxa"/>
            <w:vMerge/>
          </w:tcPr>
          <w:p w14:paraId="5EAE9A3B" w14:textId="77777777" w:rsidR="004F3CED" w:rsidRDefault="004F3CED" w:rsidP="004F3CED"/>
        </w:tc>
        <w:tc>
          <w:tcPr>
            <w:tcW w:w="2505" w:type="dxa"/>
          </w:tcPr>
          <w:p w14:paraId="26E4117C" w14:textId="29F2730E" w:rsidR="004F3CED" w:rsidRDefault="004F3CED" w:rsidP="004F3CED">
            <w:r>
              <w:t>Alb</w:t>
            </w:r>
          </w:p>
        </w:tc>
        <w:tc>
          <w:tcPr>
            <w:tcW w:w="2700" w:type="dxa"/>
          </w:tcPr>
          <w:p w14:paraId="167F8470" w14:textId="6982CA21" w:rsidR="004F3CED" w:rsidRDefault="004F3CED" w:rsidP="004F3CED">
            <w:pPr>
              <w:jc w:val="center"/>
            </w:pPr>
            <w:r>
              <w:t>0.936</w:t>
            </w:r>
          </w:p>
        </w:tc>
      </w:tr>
      <w:tr w:rsidR="004F3CED" w14:paraId="63C82225" w14:textId="77777777" w:rsidTr="004F3CED">
        <w:tc>
          <w:tcPr>
            <w:tcW w:w="2072" w:type="dxa"/>
            <w:vMerge/>
          </w:tcPr>
          <w:p w14:paraId="52B9B3D7" w14:textId="77777777" w:rsidR="004F3CED" w:rsidRDefault="004F3CED" w:rsidP="004F3CED"/>
        </w:tc>
        <w:tc>
          <w:tcPr>
            <w:tcW w:w="2505" w:type="dxa"/>
          </w:tcPr>
          <w:p w14:paraId="454BC4DD" w14:textId="6B5FB315" w:rsidR="004F3CED" w:rsidRDefault="004F3CED" w:rsidP="004F3CED">
            <w:r>
              <w:t>Sds</w:t>
            </w:r>
          </w:p>
        </w:tc>
        <w:tc>
          <w:tcPr>
            <w:tcW w:w="2700" w:type="dxa"/>
          </w:tcPr>
          <w:p w14:paraId="06CC398A" w14:textId="5987379B" w:rsidR="004F3CED" w:rsidRDefault="004F3CED" w:rsidP="004F3CED">
            <w:pPr>
              <w:jc w:val="center"/>
            </w:pPr>
            <w:r>
              <w:t>0.964</w:t>
            </w:r>
          </w:p>
        </w:tc>
      </w:tr>
      <w:tr w:rsidR="004F3CED" w14:paraId="35BFB305" w14:textId="77777777" w:rsidTr="004F3CED">
        <w:tc>
          <w:tcPr>
            <w:tcW w:w="2072" w:type="dxa"/>
            <w:vMerge/>
          </w:tcPr>
          <w:p w14:paraId="6FF6FA45" w14:textId="77777777" w:rsidR="004F3CED" w:rsidRDefault="004F3CED" w:rsidP="004F3CED"/>
        </w:tc>
        <w:tc>
          <w:tcPr>
            <w:tcW w:w="2505" w:type="dxa"/>
          </w:tcPr>
          <w:p w14:paraId="093BCBE0" w14:textId="3935169F" w:rsidR="004F3CED" w:rsidRDefault="004F3CED" w:rsidP="004F3CED">
            <w:r>
              <w:t>Hal</w:t>
            </w:r>
          </w:p>
        </w:tc>
        <w:tc>
          <w:tcPr>
            <w:tcW w:w="2700" w:type="dxa"/>
          </w:tcPr>
          <w:p w14:paraId="560916E2" w14:textId="1DA95036" w:rsidR="004F3CED" w:rsidRDefault="004F3CED" w:rsidP="004F3CED">
            <w:pPr>
              <w:jc w:val="center"/>
            </w:pPr>
            <w:r>
              <w:t>0.948</w:t>
            </w:r>
          </w:p>
        </w:tc>
      </w:tr>
      <w:tr w:rsidR="004F3CED" w14:paraId="4CC18FF8" w14:textId="77777777" w:rsidTr="004F3CED">
        <w:tc>
          <w:tcPr>
            <w:tcW w:w="2072" w:type="dxa"/>
          </w:tcPr>
          <w:p w14:paraId="73F28AE3" w14:textId="77777777" w:rsidR="004F3CED" w:rsidRDefault="004F3CED" w:rsidP="004F3CED">
            <w:pPr>
              <w:jc w:val="center"/>
            </w:pPr>
          </w:p>
        </w:tc>
        <w:tc>
          <w:tcPr>
            <w:tcW w:w="2505" w:type="dxa"/>
          </w:tcPr>
          <w:p w14:paraId="3CAC7884" w14:textId="70EC120A" w:rsidR="004F3CED" w:rsidRDefault="004F3CED" w:rsidP="004F3CED">
            <w:pPr>
              <w:jc w:val="center"/>
            </w:pPr>
            <w:r>
              <w:t>Median</w:t>
            </w:r>
          </w:p>
        </w:tc>
        <w:tc>
          <w:tcPr>
            <w:tcW w:w="2700" w:type="dxa"/>
          </w:tcPr>
          <w:p w14:paraId="3F9831F6" w14:textId="6CE1DE76" w:rsidR="004F3CED" w:rsidRDefault="004F3CED" w:rsidP="004F3CED">
            <w:pPr>
              <w:jc w:val="center"/>
            </w:pPr>
            <w:r>
              <w:t>0.951</w:t>
            </w:r>
          </w:p>
        </w:tc>
      </w:tr>
    </w:tbl>
    <w:p w14:paraId="7EF8EC23" w14:textId="519A46E0" w:rsidR="00D42B9D" w:rsidRDefault="004F3CED">
      <w:r>
        <w:rPr>
          <w:b/>
          <w:bCs/>
        </w:rPr>
        <w:t>Table 1. Pearson correlation coefficient comparing</w:t>
      </w:r>
      <w:r w:rsidR="0082636A">
        <w:rPr>
          <w:b/>
          <w:bCs/>
        </w:rPr>
        <w:t xml:space="preserve"> control hepatocytes</w:t>
      </w:r>
      <w:r>
        <w:rPr>
          <w:b/>
          <w:bCs/>
        </w:rPr>
        <w:t xml:space="preserve"> reconstruction profile of landmark genes.</w:t>
      </w:r>
      <w:r>
        <w:t xml:space="preserve"> To validate our spatial reconstruction of the liver lobule, we compared the spatial profile of pericentral or periportal landmark genes (Halpern 201</w:t>
      </w:r>
      <w:r w:rsidR="00C24063">
        <w:t>7</w:t>
      </w:r>
      <w:r>
        <w:t>) to the spatial reconstruction by Halpern 201</w:t>
      </w:r>
      <w:r w:rsidR="00C24063">
        <w:t>7</w:t>
      </w:r>
      <w:r>
        <w:t xml:space="preserve">.  </w:t>
      </w:r>
      <w:r>
        <w:br/>
      </w:r>
    </w:p>
    <w:p w14:paraId="0E70EF83" w14:textId="1DA14032" w:rsidR="004F3CED" w:rsidRDefault="004F3CED"/>
    <w:p w14:paraId="4E287C34" w14:textId="0231C005" w:rsidR="004F3CED" w:rsidRDefault="004F3CED"/>
    <w:p w14:paraId="49A02D39" w14:textId="20F3C066" w:rsidR="004F3CED" w:rsidRDefault="004F3CED"/>
    <w:p w14:paraId="4228C79F" w14:textId="317EEBF0" w:rsidR="004F3CED" w:rsidRDefault="004F3CED"/>
    <w:p w14:paraId="6D2E3379" w14:textId="20798845" w:rsidR="004F3CED" w:rsidRDefault="004F3CED"/>
    <w:p w14:paraId="716D7456" w14:textId="0F150D11" w:rsidR="004F3CED" w:rsidRDefault="004F3CED"/>
    <w:p w14:paraId="35A3088A" w14:textId="4A8B54EC" w:rsidR="004F3CED" w:rsidRDefault="004F3CED"/>
    <w:p w14:paraId="5E45C3D0" w14:textId="3575F9D9" w:rsidR="004F3CED" w:rsidRDefault="004F3CED"/>
    <w:p w14:paraId="09FEDA45" w14:textId="4D587F08" w:rsidR="004F3CED" w:rsidRDefault="004F3CED"/>
    <w:p w14:paraId="570E301E" w14:textId="1001EBE6" w:rsidR="0082636A" w:rsidRDefault="0082636A">
      <w:r>
        <w:rPr>
          <w:b/>
          <w:bCs/>
        </w:rPr>
        <w:t>Table 2. Pearson correlation coefficient comparing acetaminophen hepatocytes reconstruction profile of landmark genes.</w:t>
      </w:r>
      <w:r>
        <w:t xml:space="preserve"> To validate our spatial reconstruction of the acetaminophen liver lobule, we compared the spatial profile of pericentral or periportal landmark genes (Halpern 201</w:t>
      </w:r>
      <w:r w:rsidR="00C24063">
        <w:t>7</w:t>
      </w:r>
      <w:r>
        <w:t>) to our spatial reconstruction of our control hepatocytes.</w:t>
      </w:r>
    </w:p>
    <w:p w14:paraId="2B191E4B" w14:textId="7DABF357" w:rsidR="0082636A" w:rsidRDefault="0082636A"/>
    <w:p w14:paraId="48A3577A" w14:textId="77777777" w:rsidR="0082636A" w:rsidRDefault="0082636A"/>
    <w:tbl>
      <w:tblPr>
        <w:tblStyle w:val="TableGrid"/>
        <w:tblpPr w:leftFromText="180" w:rightFromText="180" w:vertAnchor="page" w:horzAnchor="margin" w:tblpY="8821"/>
        <w:tblW w:w="0" w:type="auto"/>
        <w:tblLook w:val="04A0" w:firstRow="1" w:lastRow="0" w:firstColumn="1" w:lastColumn="0" w:noHBand="0" w:noVBand="1"/>
      </w:tblPr>
      <w:tblGrid>
        <w:gridCol w:w="2072"/>
        <w:gridCol w:w="2505"/>
        <w:gridCol w:w="2700"/>
      </w:tblGrid>
      <w:tr w:rsidR="0082636A" w14:paraId="3CF9E449" w14:textId="77777777" w:rsidTr="0082636A">
        <w:trPr>
          <w:trHeight w:val="530"/>
        </w:trPr>
        <w:tc>
          <w:tcPr>
            <w:tcW w:w="2072" w:type="dxa"/>
          </w:tcPr>
          <w:p w14:paraId="06BD2ABE" w14:textId="77777777" w:rsidR="0082636A" w:rsidRDefault="0082636A" w:rsidP="0082636A">
            <w:pPr>
              <w:jc w:val="center"/>
            </w:pPr>
          </w:p>
        </w:tc>
        <w:tc>
          <w:tcPr>
            <w:tcW w:w="2505" w:type="dxa"/>
          </w:tcPr>
          <w:p w14:paraId="221D78D7" w14:textId="77777777" w:rsidR="0082636A" w:rsidRDefault="0082636A" w:rsidP="0082636A">
            <w:pPr>
              <w:jc w:val="center"/>
            </w:pPr>
            <w:r>
              <w:t>Gene Name</w:t>
            </w:r>
          </w:p>
        </w:tc>
        <w:tc>
          <w:tcPr>
            <w:tcW w:w="2700" w:type="dxa"/>
          </w:tcPr>
          <w:p w14:paraId="5FB1A453" w14:textId="77777777" w:rsidR="0082636A" w:rsidRDefault="0082636A" w:rsidP="0082636A">
            <w:pPr>
              <w:jc w:val="center"/>
            </w:pPr>
            <w:r>
              <w:t>Pearson Coefficient</w:t>
            </w:r>
          </w:p>
        </w:tc>
      </w:tr>
      <w:tr w:rsidR="0082636A" w14:paraId="2C2A6810" w14:textId="77777777" w:rsidTr="0082636A">
        <w:tc>
          <w:tcPr>
            <w:tcW w:w="2072" w:type="dxa"/>
            <w:vMerge w:val="restart"/>
            <w:vAlign w:val="center"/>
          </w:tcPr>
          <w:p w14:paraId="59B7A015" w14:textId="77777777" w:rsidR="0082636A" w:rsidRDefault="0082636A" w:rsidP="0082636A">
            <w:pPr>
              <w:jc w:val="center"/>
            </w:pPr>
            <w:r>
              <w:t>Pericentral</w:t>
            </w:r>
          </w:p>
        </w:tc>
        <w:tc>
          <w:tcPr>
            <w:tcW w:w="2505" w:type="dxa"/>
          </w:tcPr>
          <w:p w14:paraId="74851E1E" w14:textId="77777777" w:rsidR="0082636A" w:rsidRDefault="0082636A" w:rsidP="0082636A">
            <w:r>
              <w:t>Cyp2e1</w:t>
            </w:r>
          </w:p>
        </w:tc>
        <w:tc>
          <w:tcPr>
            <w:tcW w:w="2700" w:type="dxa"/>
          </w:tcPr>
          <w:p w14:paraId="31E15298" w14:textId="27ACDC86" w:rsidR="0082636A" w:rsidRDefault="0082636A" w:rsidP="0082636A">
            <w:pPr>
              <w:jc w:val="center"/>
            </w:pPr>
            <w:r>
              <w:t>0.985</w:t>
            </w:r>
          </w:p>
        </w:tc>
      </w:tr>
      <w:tr w:rsidR="0082636A" w14:paraId="0849F80F" w14:textId="77777777" w:rsidTr="0082636A">
        <w:tc>
          <w:tcPr>
            <w:tcW w:w="2072" w:type="dxa"/>
            <w:vMerge/>
          </w:tcPr>
          <w:p w14:paraId="71E6F54B" w14:textId="77777777" w:rsidR="0082636A" w:rsidRDefault="0082636A" w:rsidP="0082636A"/>
        </w:tc>
        <w:tc>
          <w:tcPr>
            <w:tcW w:w="2505" w:type="dxa"/>
          </w:tcPr>
          <w:p w14:paraId="445D2306" w14:textId="77777777" w:rsidR="0082636A" w:rsidRDefault="0082636A" w:rsidP="0082636A">
            <w:r>
              <w:t>Cyp1a2</w:t>
            </w:r>
          </w:p>
        </w:tc>
        <w:tc>
          <w:tcPr>
            <w:tcW w:w="2700" w:type="dxa"/>
          </w:tcPr>
          <w:p w14:paraId="441582DC" w14:textId="1A762425" w:rsidR="0082636A" w:rsidRDefault="0082636A" w:rsidP="0082636A">
            <w:pPr>
              <w:jc w:val="center"/>
            </w:pPr>
            <w:r>
              <w:t>0.987</w:t>
            </w:r>
          </w:p>
        </w:tc>
      </w:tr>
      <w:tr w:rsidR="0082636A" w14:paraId="02261BDB" w14:textId="77777777" w:rsidTr="0082636A">
        <w:tc>
          <w:tcPr>
            <w:tcW w:w="2072" w:type="dxa"/>
            <w:vMerge/>
          </w:tcPr>
          <w:p w14:paraId="18BE0B87" w14:textId="77777777" w:rsidR="0082636A" w:rsidRDefault="0082636A" w:rsidP="0082636A"/>
        </w:tc>
        <w:tc>
          <w:tcPr>
            <w:tcW w:w="2505" w:type="dxa"/>
          </w:tcPr>
          <w:p w14:paraId="4DCCF6BC" w14:textId="77777777" w:rsidR="0082636A" w:rsidRDefault="0082636A" w:rsidP="0082636A">
            <w:r>
              <w:t>Oat</w:t>
            </w:r>
          </w:p>
        </w:tc>
        <w:tc>
          <w:tcPr>
            <w:tcW w:w="2700" w:type="dxa"/>
          </w:tcPr>
          <w:p w14:paraId="4B226915" w14:textId="38DBA2DB" w:rsidR="0082636A" w:rsidRDefault="0082636A" w:rsidP="0082636A">
            <w:pPr>
              <w:jc w:val="center"/>
            </w:pPr>
            <w:r>
              <w:t>0.944</w:t>
            </w:r>
          </w:p>
        </w:tc>
      </w:tr>
      <w:tr w:rsidR="0082636A" w14:paraId="4E55B98E" w14:textId="77777777" w:rsidTr="0082636A">
        <w:tc>
          <w:tcPr>
            <w:tcW w:w="2072" w:type="dxa"/>
            <w:vMerge/>
          </w:tcPr>
          <w:p w14:paraId="0B075024" w14:textId="77777777" w:rsidR="0082636A" w:rsidRDefault="0082636A" w:rsidP="0082636A"/>
        </w:tc>
        <w:tc>
          <w:tcPr>
            <w:tcW w:w="2505" w:type="dxa"/>
          </w:tcPr>
          <w:p w14:paraId="329A35AB" w14:textId="77777777" w:rsidR="0082636A" w:rsidRDefault="0082636A" w:rsidP="0082636A">
            <w:r>
              <w:t>Rgn</w:t>
            </w:r>
          </w:p>
        </w:tc>
        <w:tc>
          <w:tcPr>
            <w:tcW w:w="2700" w:type="dxa"/>
          </w:tcPr>
          <w:p w14:paraId="6109C19E" w14:textId="01B89D3B" w:rsidR="0082636A" w:rsidRDefault="0082636A" w:rsidP="0082636A">
            <w:pPr>
              <w:jc w:val="center"/>
            </w:pPr>
            <w:r>
              <w:t>0.996</w:t>
            </w:r>
          </w:p>
        </w:tc>
      </w:tr>
      <w:tr w:rsidR="0082636A" w14:paraId="038D1FE1" w14:textId="77777777" w:rsidTr="0082636A">
        <w:tc>
          <w:tcPr>
            <w:tcW w:w="2072" w:type="dxa"/>
            <w:vMerge w:val="restart"/>
            <w:vAlign w:val="center"/>
          </w:tcPr>
          <w:p w14:paraId="49BC5500" w14:textId="77777777" w:rsidR="0082636A" w:rsidRDefault="0082636A" w:rsidP="0082636A">
            <w:pPr>
              <w:jc w:val="center"/>
            </w:pPr>
            <w:r>
              <w:t>Periportal</w:t>
            </w:r>
          </w:p>
        </w:tc>
        <w:tc>
          <w:tcPr>
            <w:tcW w:w="2505" w:type="dxa"/>
          </w:tcPr>
          <w:p w14:paraId="5915C7BA" w14:textId="77777777" w:rsidR="0082636A" w:rsidRDefault="0082636A" w:rsidP="0082636A">
            <w:r>
              <w:t>Cyp2f2</w:t>
            </w:r>
          </w:p>
        </w:tc>
        <w:tc>
          <w:tcPr>
            <w:tcW w:w="2700" w:type="dxa"/>
          </w:tcPr>
          <w:p w14:paraId="339C0589" w14:textId="4D5944C2" w:rsidR="0082636A" w:rsidRDefault="0082636A" w:rsidP="0082636A">
            <w:pPr>
              <w:jc w:val="center"/>
            </w:pPr>
            <w:r>
              <w:t>0.991</w:t>
            </w:r>
          </w:p>
        </w:tc>
      </w:tr>
      <w:tr w:rsidR="0082636A" w14:paraId="1E6511F6" w14:textId="77777777" w:rsidTr="0082636A">
        <w:tc>
          <w:tcPr>
            <w:tcW w:w="2072" w:type="dxa"/>
            <w:vMerge/>
          </w:tcPr>
          <w:p w14:paraId="580CBCAD" w14:textId="77777777" w:rsidR="0082636A" w:rsidRDefault="0082636A" w:rsidP="0082636A"/>
        </w:tc>
        <w:tc>
          <w:tcPr>
            <w:tcW w:w="2505" w:type="dxa"/>
          </w:tcPr>
          <w:p w14:paraId="7BAF0CB0" w14:textId="77777777" w:rsidR="0082636A" w:rsidRDefault="0082636A" w:rsidP="0082636A">
            <w:r>
              <w:t>Alb</w:t>
            </w:r>
          </w:p>
        </w:tc>
        <w:tc>
          <w:tcPr>
            <w:tcW w:w="2700" w:type="dxa"/>
          </w:tcPr>
          <w:p w14:paraId="0586C5F6" w14:textId="328E9C85" w:rsidR="0082636A" w:rsidRDefault="0082636A" w:rsidP="0082636A">
            <w:pPr>
              <w:jc w:val="center"/>
            </w:pPr>
            <w:r>
              <w:t>0.991</w:t>
            </w:r>
          </w:p>
        </w:tc>
      </w:tr>
      <w:tr w:rsidR="0082636A" w14:paraId="0B507DD2" w14:textId="77777777" w:rsidTr="0082636A">
        <w:tc>
          <w:tcPr>
            <w:tcW w:w="2072" w:type="dxa"/>
            <w:vMerge/>
          </w:tcPr>
          <w:p w14:paraId="266EC88F" w14:textId="77777777" w:rsidR="0082636A" w:rsidRDefault="0082636A" w:rsidP="0082636A"/>
        </w:tc>
        <w:tc>
          <w:tcPr>
            <w:tcW w:w="2505" w:type="dxa"/>
          </w:tcPr>
          <w:p w14:paraId="0310E6A7" w14:textId="77777777" w:rsidR="0082636A" w:rsidRDefault="0082636A" w:rsidP="0082636A">
            <w:r>
              <w:t>Sds</w:t>
            </w:r>
          </w:p>
        </w:tc>
        <w:tc>
          <w:tcPr>
            <w:tcW w:w="2700" w:type="dxa"/>
          </w:tcPr>
          <w:p w14:paraId="3A6D39D5" w14:textId="0E4EDA44" w:rsidR="0082636A" w:rsidRDefault="0082636A" w:rsidP="0082636A">
            <w:pPr>
              <w:jc w:val="center"/>
            </w:pPr>
            <w:r>
              <w:t>0.998</w:t>
            </w:r>
          </w:p>
        </w:tc>
      </w:tr>
      <w:tr w:rsidR="0082636A" w14:paraId="13E12E61" w14:textId="77777777" w:rsidTr="0082636A">
        <w:tc>
          <w:tcPr>
            <w:tcW w:w="2072" w:type="dxa"/>
            <w:vMerge/>
          </w:tcPr>
          <w:p w14:paraId="29F798D0" w14:textId="77777777" w:rsidR="0082636A" w:rsidRDefault="0082636A" w:rsidP="0082636A"/>
        </w:tc>
        <w:tc>
          <w:tcPr>
            <w:tcW w:w="2505" w:type="dxa"/>
          </w:tcPr>
          <w:p w14:paraId="1AAE2DE5" w14:textId="77777777" w:rsidR="0082636A" w:rsidRDefault="0082636A" w:rsidP="0082636A">
            <w:r>
              <w:t>Hal</w:t>
            </w:r>
          </w:p>
        </w:tc>
        <w:tc>
          <w:tcPr>
            <w:tcW w:w="2700" w:type="dxa"/>
          </w:tcPr>
          <w:p w14:paraId="272364DD" w14:textId="69322625" w:rsidR="0082636A" w:rsidRDefault="0082636A" w:rsidP="0082636A">
            <w:pPr>
              <w:jc w:val="center"/>
            </w:pPr>
            <w:r>
              <w:t>0.993</w:t>
            </w:r>
          </w:p>
        </w:tc>
      </w:tr>
      <w:tr w:rsidR="0082636A" w14:paraId="4D765755" w14:textId="77777777" w:rsidTr="0082636A">
        <w:tc>
          <w:tcPr>
            <w:tcW w:w="2072" w:type="dxa"/>
          </w:tcPr>
          <w:p w14:paraId="40BD0CA4" w14:textId="77777777" w:rsidR="0082636A" w:rsidRDefault="0082636A" w:rsidP="0082636A">
            <w:pPr>
              <w:jc w:val="center"/>
            </w:pPr>
          </w:p>
        </w:tc>
        <w:tc>
          <w:tcPr>
            <w:tcW w:w="2505" w:type="dxa"/>
          </w:tcPr>
          <w:p w14:paraId="2F9ABB68" w14:textId="77777777" w:rsidR="0082636A" w:rsidRDefault="0082636A" w:rsidP="0082636A">
            <w:pPr>
              <w:jc w:val="center"/>
            </w:pPr>
            <w:r>
              <w:t>Median</w:t>
            </w:r>
          </w:p>
        </w:tc>
        <w:tc>
          <w:tcPr>
            <w:tcW w:w="2700" w:type="dxa"/>
          </w:tcPr>
          <w:p w14:paraId="5E1457BA" w14:textId="7136A3C4" w:rsidR="0082636A" w:rsidRDefault="0082636A" w:rsidP="0082636A">
            <w:pPr>
              <w:jc w:val="center"/>
            </w:pPr>
            <w:r>
              <w:t>0.991</w:t>
            </w:r>
          </w:p>
        </w:tc>
      </w:tr>
    </w:tbl>
    <w:p w14:paraId="02B7214E" w14:textId="46854FCE" w:rsidR="004F3CED" w:rsidRDefault="004F3CED"/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2072"/>
        <w:gridCol w:w="2505"/>
        <w:gridCol w:w="2700"/>
      </w:tblGrid>
      <w:tr w:rsidR="004F3CED" w14:paraId="7C98A859" w14:textId="77777777" w:rsidTr="00D75882">
        <w:trPr>
          <w:trHeight w:val="530"/>
        </w:trPr>
        <w:tc>
          <w:tcPr>
            <w:tcW w:w="2072" w:type="dxa"/>
          </w:tcPr>
          <w:p w14:paraId="2FC75203" w14:textId="77777777" w:rsidR="004F3CED" w:rsidRDefault="004F3CED" w:rsidP="00D75882">
            <w:pPr>
              <w:jc w:val="center"/>
            </w:pPr>
          </w:p>
        </w:tc>
        <w:tc>
          <w:tcPr>
            <w:tcW w:w="2505" w:type="dxa"/>
          </w:tcPr>
          <w:p w14:paraId="0CA1F9F0" w14:textId="77777777" w:rsidR="004F3CED" w:rsidRDefault="004F3CED" w:rsidP="00D75882">
            <w:pPr>
              <w:jc w:val="center"/>
            </w:pPr>
            <w:r>
              <w:t>Gene Name</w:t>
            </w:r>
          </w:p>
        </w:tc>
        <w:tc>
          <w:tcPr>
            <w:tcW w:w="2700" w:type="dxa"/>
          </w:tcPr>
          <w:p w14:paraId="3CFE232F" w14:textId="77777777" w:rsidR="004F3CED" w:rsidRDefault="004F3CED" w:rsidP="00D75882">
            <w:pPr>
              <w:jc w:val="center"/>
            </w:pPr>
            <w:r>
              <w:t>Pearson Coefficient</w:t>
            </w:r>
          </w:p>
        </w:tc>
      </w:tr>
      <w:tr w:rsidR="004F3CED" w14:paraId="6E3265FD" w14:textId="77777777" w:rsidTr="00D75882">
        <w:tc>
          <w:tcPr>
            <w:tcW w:w="2072" w:type="dxa"/>
            <w:vMerge w:val="restart"/>
            <w:vAlign w:val="center"/>
          </w:tcPr>
          <w:p w14:paraId="077F5C37" w14:textId="77777777" w:rsidR="004F3CED" w:rsidRDefault="004F3CED" w:rsidP="00D75882">
            <w:pPr>
              <w:jc w:val="center"/>
            </w:pPr>
            <w:r>
              <w:t>Pericentral</w:t>
            </w:r>
          </w:p>
        </w:tc>
        <w:tc>
          <w:tcPr>
            <w:tcW w:w="2505" w:type="dxa"/>
          </w:tcPr>
          <w:p w14:paraId="3C016373" w14:textId="77777777" w:rsidR="004F3CED" w:rsidRDefault="004F3CED" w:rsidP="00D75882">
            <w:r>
              <w:t>Cyp2e1</w:t>
            </w:r>
          </w:p>
        </w:tc>
        <w:tc>
          <w:tcPr>
            <w:tcW w:w="2700" w:type="dxa"/>
          </w:tcPr>
          <w:p w14:paraId="1C5118D5" w14:textId="77777777" w:rsidR="004F3CED" w:rsidRDefault="004F3CED" w:rsidP="00D75882">
            <w:pPr>
              <w:jc w:val="center"/>
            </w:pPr>
            <w:r>
              <w:t>0.979</w:t>
            </w:r>
          </w:p>
        </w:tc>
      </w:tr>
      <w:tr w:rsidR="004F3CED" w14:paraId="64294507" w14:textId="77777777" w:rsidTr="00D75882">
        <w:tc>
          <w:tcPr>
            <w:tcW w:w="2072" w:type="dxa"/>
            <w:vMerge/>
          </w:tcPr>
          <w:p w14:paraId="1E7F871C" w14:textId="77777777" w:rsidR="004F3CED" w:rsidRDefault="004F3CED" w:rsidP="00D75882"/>
        </w:tc>
        <w:tc>
          <w:tcPr>
            <w:tcW w:w="2505" w:type="dxa"/>
          </w:tcPr>
          <w:p w14:paraId="1D6EFBBD" w14:textId="77777777" w:rsidR="004F3CED" w:rsidRDefault="004F3CED" w:rsidP="00D75882">
            <w:r>
              <w:t>Cyp1a2</w:t>
            </w:r>
          </w:p>
        </w:tc>
        <w:tc>
          <w:tcPr>
            <w:tcW w:w="2700" w:type="dxa"/>
          </w:tcPr>
          <w:p w14:paraId="45BC4ED6" w14:textId="77777777" w:rsidR="004F3CED" w:rsidRDefault="004F3CED" w:rsidP="00D75882">
            <w:pPr>
              <w:jc w:val="center"/>
            </w:pPr>
            <w:r>
              <w:t>0.944</w:t>
            </w:r>
          </w:p>
        </w:tc>
      </w:tr>
      <w:tr w:rsidR="004F3CED" w14:paraId="256C7F51" w14:textId="77777777" w:rsidTr="00D75882">
        <w:tc>
          <w:tcPr>
            <w:tcW w:w="2072" w:type="dxa"/>
            <w:vMerge/>
          </w:tcPr>
          <w:p w14:paraId="1E49FCDB" w14:textId="77777777" w:rsidR="004F3CED" w:rsidRDefault="004F3CED" w:rsidP="00D75882"/>
        </w:tc>
        <w:tc>
          <w:tcPr>
            <w:tcW w:w="2505" w:type="dxa"/>
          </w:tcPr>
          <w:p w14:paraId="177612D6" w14:textId="77777777" w:rsidR="004F3CED" w:rsidRDefault="004F3CED" w:rsidP="00D75882">
            <w:r>
              <w:t>Oat</w:t>
            </w:r>
          </w:p>
        </w:tc>
        <w:tc>
          <w:tcPr>
            <w:tcW w:w="2700" w:type="dxa"/>
          </w:tcPr>
          <w:p w14:paraId="27BD54D7" w14:textId="77777777" w:rsidR="004F3CED" w:rsidRDefault="004F3CED" w:rsidP="00D75882">
            <w:pPr>
              <w:jc w:val="center"/>
            </w:pPr>
            <w:r>
              <w:t>0.907</w:t>
            </w:r>
          </w:p>
        </w:tc>
      </w:tr>
      <w:tr w:rsidR="004F3CED" w14:paraId="73D105D4" w14:textId="77777777" w:rsidTr="00D75882">
        <w:tc>
          <w:tcPr>
            <w:tcW w:w="2072" w:type="dxa"/>
            <w:vMerge/>
          </w:tcPr>
          <w:p w14:paraId="4E5D1DA4" w14:textId="77777777" w:rsidR="004F3CED" w:rsidRDefault="004F3CED" w:rsidP="00D75882"/>
        </w:tc>
        <w:tc>
          <w:tcPr>
            <w:tcW w:w="2505" w:type="dxa"/>
          </w:tcPr>
          <w:p w14:paraId="654706E6" w14:textId="77777777" w:rsidR="004F3CED" w:rsidRDefault="004F3CED" w:rsidP="00D75882">
            <w:r>
              <w:t>Rgn</w:t>
            </w:r>
          </w:p>
        </w:tc>
        <w:tc>
          <w:tcPr>
            <w:tcW w:w="2700" w:type="dxa"/>
          </w:tcPr>
          <w:p w14:paraId="70E09C17" w14:textId="77777777" w:rsidR="004F3CED" w:rsidRDefault="004F3CED" w:rsidP="00D75882">
            <w:pPr>
              <w:jc w:val="center"/>
            </w:pPr>
            <w:r>
              <w:t>0.971</w:t>
            </w:r>
          </w:p>
        </w:tc>
      </w:tr>
      <w:tr w:rsidR="004F3CED" w14:paraId="38F6E4C5" w14:textId="77777777" w:rsidTr="00D75882">
        <w:tc>
          <w:tcPr>
            <w:tcW w:w="2072" w:type="dxa"/>
            <w:vMerge w:val="restart"/>
            <w:vAlign w:val="center"/>
          </w:tcPr>
          <w:p w14:paraId="34D99060" w14:textId="77777777" w:rsidR="004F3CED" w:rsidRDefault="004F3CED" w:rsidP="00D75882">
            <w:pPr>
              <w:jc w:val="center"/>
            </w:pPr>
            <w:r>
              <w:t>Periportal</w:t>
            </w:r>
          </w:p>
        </w:tc>
        <w:tc>
          <w:tcPr>
            <w:tcW w:w="2505" w:type="dxa"/>
          </w:tcPr>
          <w:p w14:paraId="19847E2E" w14:textId="77777777" w:rsidR="004F3CED" w:rsidRDefault="004F3CED" w:rsidP="00D75882">
            <w:r>
              <w:t>Cyp2f2</w:t>
            </w:r>
          </w:p>
        </w:tc>
        <w:tc>
          <w:tcPr>
            <w:tcW w:w="2700" w:type="dxa"/>
          </w:tcPr>
          <w:p w14:paraId="0AE9733F" w14:textId="77777777" w:rsidR="004F3CED" w:rsidRDefault="004F3CED" w:rsidP="00D75882">
            <w:pPr>
              <w:jc w:val="center"/>
            </w:pPr>
            <w:r>
              <w:t>0.954</w:t>
            </w:r>
          </w:p>
        </w:tc>
      </w:tr>
      <w:tr w:rsidR="004F3CED" w14:paraId="0575B807" w14:textId="77777777" w:rsidTr="00D75882">
        <w:tc>
          <w:tcPr>
            <w:tcW w:w="2072" w:type="dxa"/>
            <w:vMerge/>
          </w:tcPr>
          <w:p w14:paraId="72B32BD6" w14:textId="77777777" w:rsidR="004F3CED" w:rsidRDefault="004F3CED" w:rsidP="00D75882"/>
        </w:tc>
        <w:tc>
          <w:tcPr>
            <w:tcW w:w="2505" w:type="dxa"/>
          </w:tcPr>
          <w:p w14:paraId="5EA59B83" w14:textId="77777777" w:rsidR="004F3CED" w:rsidRDefault="004F3CED" w:rsidP="00D75882">
            <w:r>
              <w:t>Alb</w:t>
            </w:r>
          </w:p>
        </w:tc>
        <w:tc>
          <w:tcPr>
            <w:tcW w:w="2700" w:type="dxa"/>
          </w:tcPr>
          <w:p w14:paraId="124BEAA7" w14:textId="77777777" w:rsidR="004F3CED" w:rsidRDefault="004F3CED" w:rsidP="00D75882">
            <w:pPr>
              <w:jc w:val="center"/>
            </w:pPr>
            <w:r>
              <w:t>0.936</w:t>
            </w:r>
          </w:p>
        </w:tc>
      </w:tr>
      <w:tr w:rsidR="004F3CED" w14:paraId="16B786B0" w14:textId="77777777" w:rsidTr="00D75882">
        <w:tc>
          <w:tcPr>
            <w:tcW w:w="2072" w:type="dxa"/>
            <w:vMerge/>
          </w:tcPr>
          <w:p w14:paraId="1021903B" w14:textId="77777777" w:rsidR="004F3CED" w:rsidRDefault="004F3CED" w:rsidP="00D75882"/>
        </w:tc>
        <w:tc>
          <w:tcPr>
            <w:tcW w:w="2505" w:type="dxa"/>
          </w:tcPr>
          <w:p w14:paraId="72A6D6EF" w14:textId="77777777" w:rsidR="004F3CED" w:rsidRDefault="004F3CED" w:rsidP="00D75882">
            <w:r>
              <w:t>Sds</w:t>
            </w:r>
          </w:p>
        </w:tc>
        <w:tc>
          <w:tcPr>
            <w:tcW w:w="2700" w:type="dxa"/>
          </w:tcPr>
          <w:p w14:paraId="0590952D" w14:textId="77777777" w:rsidR="004F3CED" w:rsidRDefault="004F3CED" w:rsidP="00D75882">
            <w:pPr>
              <w:jc w:val="center"/>
            </w:pPr>
            <w:r>
              <w:t>0.964</w:t>
            </w:r>
          </w:p>
        </w:tc>
      </w:tr>
      <w:tr w:rsidR="004F3CED" w14:paraId="625DC82E" w14:textId="77777777" w:rsidTr="00D75882">
        <w:tc>
          <w:tcPr>
            <w:tcW w:w="2072" w:type="dxa"/>
            <w:vMerge/>
          </w:tcPr>
          <w:p w14:paraId="19B6CF47" w14:textId="77777777" w:rsidR="004F3CED" w:rsidRDefault="004F3CED" w:rsidP="00D75882"/>
        </w:tc>
        <w:tc>
          <w:tcPr>
            <w:tcW w:w="2505" w:type="dxa"/>
          </w:tcPr>
          <w:p w14:paraId="153A9942" w14:textId="77777777" w:rsidR="004F3CED" w:rsidRDefault="004F3CED" w:rsidP="00D75882">
            <w:r>
              <w:t>Hal</w:t>
            </w:r>
          </w:p>
        </w:tc>
        <w:tc>
          <w:tcPr>
            <w:tcW w:w="2700" w:type="dxa"/>
          </w:tcPr>
          <w:p w14:paraId="041630E1" w14:textId="77777777" w:rsidR="004F3CED" w:rsidRDefault="004F3CED" w:rsidP="00D75882">
            <w:pPr>
              <w:jc w:val="center"/>
            </w:pPr>
            <w:r>
              <w:t>0.948</w:t>
            </w:r>
          </w:p>
        </w:tc>
      </w:tr>
      <w:tr w:rsidR="004F3CED" w14:paraId="48F1B7E0" w14:textId="77777777" w:rsidTr="00D75882">
        <w:tc>
          <w:tcPr>
            <w:tcW w:w="2072" w:type="dxa"/>
          </w:tcPr>
          <w:p w14:paraId="42D57F80" w14:textId="77777777" w:rsidR="004F3CED" w:rsidRDefault="004F3CED" w:rsidP="00D75882">
            <w:pPr>
              <w:jc w:val="center"/>
            </w:pPr>
          </w:p>
        </w:tc>
        <w:tc>
          <w:tcPr>
            <w:tcW w:w="2505" w:type="dxa"/>
          </w:tcPr>
          <w:p w14:paraId="138935D5" w14:textId="77777777" w:rsidR="004F3CED" w:rsidRDefault="004F3CED" w:rsidP="00D75882">
            <w:pPr>
              <w:jc w:val="center"/>
            </w:pPr>
            <w:r>
              <w:t>Median</w:t>
            </w:r>
          </w:p>
        </w:tc>
        <w:tc>
          <w:tcPr>
            <w:tcW w:w="2700" w:type="dxa"/>
          </w:tcPr>
          <w:p w14:paraId="11E2E82D" w14:textId="77777777" w:rsidR="004F3CED" w:rsidRDefault="004F3CED" w:rsidP="00D75882">
            <w:pPr>
              <w:jc w:val="center"/>
            </w:pPr>
            <w:r>
              <w:t>0.951</w:t>
            </w:r>
          </w:p>
        </w:tc>
      </w:tr>
    </w:tbl>
    <w:p w14:paraId="03535A99" w14:textId="04F3AC0D" w:rsidR="004F3CED" w:rsidRDefault="004F3CED"/>
    <w:p w14:paraId="131C1683" w14:textId="37986460" w:rsidR="004F3CED" w:rsidRDefault="004F3CED"/>
    <w:p w14:paraId="6C4F86F9" w14:textId="41F9DEF7" w:rsidR="004F3CED" w:rsidRDefault="004F3CED"/>
    <w:p w14:paraId="29EB81C6" w14:textId="4ADE4CD0" w:rsidR="004F3CED" w:rsidRDefault="004F3CED"/>
    <w:p w14:paraId="4D35B721" w14:textId="20BF5896" w:rsidR="004F3CED" w:rsidRDefault="004F3CED"/>
    <w:p w14:paraId="67B64609" w14:textId="56A9B56A" w:rsidR="004F3CED" w:rsidRDefault="004F3CED"/>
    <w:p w14:paraId="47A17DCC" w14:textId="1963D03B" w:rsidR="004F3CED" w:rsidRDefault="004F3CED"/>
    <w:p w14:paraId="25382819" w14:textId="7667178D" w:rsidR="004F3CED" w:rsidRDefault="004F3CED"/>
    <w:p w14:paraId="6BFF7F92" w14:textId="43CDEDEA" w:rsidR="004F3CED" w:rsidRDefault="004F3CED"/>
    <w:p w14:paraId="4E2CF6CF" w14:textId="2E054402" w:rsidR="004F3CED" w:rsidRDefault="004F3CED"/>
    <w:tbl>
      <w:tblPr>
        <w:tblStyle w:val="TableGrid"/>
        <w:tblpPr w:leftFromText="180" w:rightFromText="180" w:vertAnchor="page" w:horzAnchor="margin" w:tblpY="3736"/>
        <w:tblW w:w="9445" w:type="dxa"/>
        <w:tblLook w:val="04A0" w:firstRow="1" w:lastRow="0" w:firstColumn="1" w:lastColumn="0" w:noHBand="0" w:noVBand="1"/>
      </w:tblPr>
      <w:tblGrid>
        <w:gridCol w:w="1990"/>
        <w:gridCol w:w="2350"/>
        <w:gridCol w:w="2559"/>
        <w:gridCol w:w="2546"/>
      </w:tblGrid>
      <w:tr w:rsidR="000E4D93" w14:paraId="4207544B" w14:textId="1B1DB33D" w:rsidTr="000E4D93">
        <w:trPr>
          <w:trHeight w:val="707"/>
        </w:trPr>
        <w:tc>
          <w:tcPr>
            <w:tcW w:w="1990" w:type="dxa"/>
          </w:tcPr>
          <w:p w14:paraId="5C06085D" w14:textId="77777777" w:rsidR="000E4D93" w:rsidRDefault="000E4D93" w:rsidP="000E4D93">
            <w:pPr>
              <w:jc w:val="center"/>
            </w:pPr>
          </w:p>
        </w:tc>
        <w:tc>
          <w:tcPr>
            <w:tcW w:w="2350" w:type="dxa"/>
          </w:tcPr>
          <w:p w14:paraId="6E7BC9C0" w14:textId="77777777" w:rsidR="000E4D93" w:rsidRDefault="000E4D93" w:rsidP="000E4D93">
            <w:pPr>
              <w:jc w:val="center"/>
            </w:pPr>
            <w:r>
              <w:t>Gene Name</w:t>
            </w:r>
          </w:p>
        </w:tc>
        <w:tc>
          <w:tcPr>
            <w:tcW w:w="2559" w:type="dxa"/>
          </w:tcPr>
          <w:p w14:paraId="1DF7AF28" w14:textId="273B468A" w:rsidR="000E4D93" w:rsidRDefault="000E4D93" w:rsidP="000E4D93">
            <w:pPr>
              <w:jc w:val="center"/>
            </w:pPr>
            <w:r>
              <w:t>Pearson Coefficient (control vs human liver)</w:t>
            </w:r>
          </w:p>
        </w:tc>
        <w:tc>
          <w:tcPr>
            <w:tcW w:w="2546" w:type="dxa"/>
          </w:tcPr>
          <w:p w14:paraId="5D71E83A" w14:textId="551C03E1" w:rsidR="000E4D93" w:rsidRDefault="000E4D93" w:rsidP="000E4D93">
            <w:pPr>
              <w:jc w:val="center"/>
            </w:pPr>
            <w:r>
              <w:t>Pearson Coefficient (APAP vs human liver)</w:t>
            </w:r>
          </w:p>
        </w:tc>
      </w:tr>
      <w:tr w:rsidR="000E4D93" w14:paraId="0E73129C" w14:textId="75E6D454" w:rsidTr="000E4D93">
        <w:tc>
          <w:tcPr>
            <w:tcW w:w="1990" w:type="dxa"/>
            <w:vMerge w:val="restart"/>
            <w:vAlign w:val="center"/>
          </w:tcPr>
          <w:p w14:paraId="2E399504" w14:textId="77777777" w:rsidR="000E4D93" w:rsidRDefault="000E4D93" w:rsidP="000E4D93">
            <w:pPr>
              <w:jc w:val="center"/>
            </w:pPr>
            <w:r>
              <w:t>Pericentral</w:t>
            </w:r>
          </w:p>
        </w:tc>
        <w:tc>
          <w:tcPr>
            <w:tcW w:w="2350" w:type="dxa"/>
          </w:tcPr>
          <w:p w14:paraId="72169723" w14:textId="2D61F8E1" w:rsidR="000E4D93" w:rsidRDefault="000E4D93" w:rsidP="000E4D93">
            <w:r>
              <w:t>Cyp2e1</w:t>
            </w:r>
          </w:p>
        </w:tc>
        <w:tc>
          <w:tcPr>
            <w:tcW w:w="2559" w:type="dxa"/>
          </w:tcPr>
          <w:p w14:paraId="67B10E00" w14:textId="7B760B06" w:rsidR="000E4D93" w:rsidRDefault="000E4D93" w:rsidP="000E4D93">
            <w:pPr>
              <w:jc w:val="center"/>
            </w:pPr>
            <w:r>
              <w:t>0.881</w:t>
            </w:r>
          </w:p>
        </w:tc>
        <w:tc>
          <w:tcPr>
            <w:tcW w:w="2546" w:type="dxa"/>
          </w:tcPr>
          <w:p w14:paraId="336CA3DC" w14:textId="26B4BB44" w:rsidR="000E4D93" w:rsidRDefault="000E4D93" w:rsidP="000E4D93">
            <w:pPr>
              <w:jc w:val="center"/>
            </w:pPr>
            <w:r>
              <w:t>0.869</w:t>
            </w:r>
          </w:p>
        </w:tc>
      </w:tr>
      <w:tr w:rsidR="000E4D93" w14:paraId="3C92D94F" w14:textId="69D706CF" w:rsidTr="000E4D93">
        <w:tc>
          <w:tcPr>
            <w:tcW w:w="1990" w:type="dxa"/>
            <w:vMerge/>
          </w:tcPr>
          <w:p w14:paraId="6F9DA0C4" w14:textId="77777777" w:rsidR="000E4D93" w:rsidRDefault="000E4D93" w:rsidP="000E4D93"/>
        </w:tc>
        <w:tc>
          <w:tcPr>
            <w:tcW w:w="2350" w:type="dxa"/>
          </w:tcPr>
          <w:p w14:paraId="0D2D84F4" w14:textId="77777777" w:rsidR="000E4D93" w:rsidRDefault="000E4D93" w:rsidP="000E4D93">
            <w:r>
              <w:t>Cyp1a2</w:t>
            </w:r>
          </w:p>
        </w:tc>
        <w:tc>
          <w:tcPr>
            <w:tcW w:w="2559" w:type="dxa"/>
          </w:tcPr>
          <w:p w14:paraId="265240F6" w14:textId="67836537" w:rsidR="000E4D93" w:rsidRDefault="000E4D93" w:rsidP="000E4D93">
            <w:pPr>
              <w:jc w:val="center"/>
            </w:pPr>
            <w:r>
              <w:t>0.966</w:t>
            </w:r>
          </w:p>
        </w:tc>
        <w:tc>
          <w:tcPr>
            <w:tcW w:w="2546" w:type="dxa"/>
          </w:tcPr>
          <w:p w14:paraId="792D35DF" w14:textId="4ADBED2B" w:rsidR="000E4D93" w:rsidRDefault="000E4D93" w:rsidP="000E4D93">
            <w:pPr>
              <w:jc w:val="center"/>
            </w:pPr>
            <w:r>
              <w:t>0.954</w:t>
            </w:r>
          </w:p>
        </w:tc>
      </w:tr>
      <w:tr w:rsidR="000E4D93" w14:paraId="5A36C7D0" w14:textId="5678A3D2" w:rsidTr="000E4D93">
        <w:tc>
          <w:tcPr>
            <w:tcW w:w="1990" w:type="dxa"/>
            <w:vMerge/>
          </w:tcPr>
          <w:p w14:paraId="68A79186" w14:textId="77777777" w:rsidR="000E4D93" w:rsidRDefault="000E4D93" w:rsidP="000E4D93"/>
        </w:tc>
        <w:tc>
          <w:tcPr>
            <w:tcW w:w="2350" w:type="dxa"/>
          </w:tcPr>
          <w:p w14:paraId="7F86BC1C" w14:textId="3DC1C3E3" w:rsidR="000E4D93" w:rsidRDefault="000E4D93" w:rsidP="000E4D93">
            <w:r>
              <w:t>Apoc1</w:t>
            </w:r>
          </w:p>
        </w:tc>
        <w:tc>
          <w:tcPr>
            <w:tcW w:w="2559" w:type="dxa"/>
          </w:tcPr>
          <w:p w14:paraId="6EEB76BB" w14:textId="53EAC61B" w:rsidR="000E4D93" w:rsidRDefault="000E4D93" w:rsidP="000E4D93">
            <w:pPr>
              <w:jc w:val="center"/>
            </w:pPr>
            <w:r>
              <w:t>0.9953</w:t>
            </w:r>
          </w:p>
        </w:tc>
        <w:tc>
          <w:tcPr>
            <w:tcW w:w="2546" w:type="dxa"/>
          </w:tcPr>
          <w:p w14:paraId="6D319A36" w14:textId="61678FEB" w:rsidR="000E4D93" w:rsidRDefault="000E4D93" w:rsidP="000E4D93">
            <w:pPr>
              <w:jc w:val="center"/>
            </w:pPr>
            <w:r>
              <w:t>0.918</w:t>
            </w:r>
          </w:p>
        </w:tc>
      </w:tr>
      <w:tr w:rsidR="000E4D93" w14:paraId="749D09FF" w14:textId="22F5EB2D" w:rsidTr="000E4D93">
        <w:tc>
          <w:tcPr>
            <w:tcW w:w="1990" w:type="dxa"/>
            <w:vMerge/>
          </w:tcPr>
          <w:p w14:paraId="029C555A" w14:textId="77777777" w:rsidR="000E4D93" w:rsidRDefault="000E4D93" w:rsidP="000E4D93"/>
        </w:tc>
        <w:tc>
          <w:tcPr>
            <w:tcW w:w="2350" w:type="dxa"/>
          </w:tcPr>
          <w:p w14:paraId="4283088E" w14:textId="463FCFD6" w:rsidR="000E4D93" w:rsidRDefault="000E4D93" w:rsidP="000E4D93">
            <w:r>
              <w:t>Apoe</w:t>
            </w:r>
          </w:p>
        </w:tc>
        <w:tc>
          <w:tcPr>
            <w:tcW w:w="2559" w:type="dxa"/>
          </w:tcPr>
          <w:p w14:paraId="37EC0588" w14:textId="468F5C2F" w:rsidR="000E4D93" w:rsidRDefault="000E4D93" w:rsidP="000E4D93">
            <w:pPr>
              <w:jc w:val="center"/>
            </w:pPr>
            <w:r>
              <w:t>0.927</w:t>
            </w:r>
          </w:p>
        </w:tc>
        <w:tc>
          <w:tcPr>
            <w:tcW w:w="2546" w:type="dxa"/>
          </w:tcPr>
          <w:p w14:paraId="4F4BE401" w14:textId="03B5DA41" w:rsidR="000E4D93" w:rsidRDefault="000E4D93" w:rsidP="000E4D93">
            <w:pPr>
              <w:jc w:val="center"/>
            </w:pPr>
            <w:r>
              <w:t>0.894</w:t>
            </w:r>
          </w:p>
        </w:tc>
      </w:tr>
      <w:tr w:rsidR="000E4D93" w14:paraId="4CFF6A10" w14:textId="2D76DF38" w:rsidTr="000E4D93">
        <w:tc>
          <w:tcPr>
            <w:tcW w:w="1990" w:type="dxa"/>
            <w:vMerge w:val="restart"/>
            <w:vAlign w:val="center"/>
          </w:tcPr>
          <w:p w14:paraId="47956270" w14:textId="77777777" w:rsidR="000E4D93" w:rsidRDefault="000E4D93" w:rsidP="000E4D93">
            <w:pPr>
              <w:jc w:val="center"/>
            </w:pPr>
            <w:r>
              <w:t>Periportal</w:t>
            </w:r>
          </w:p>
        </w:tc>
        <w:tc>
          <w:tcPr>
            <w:tcW w:w="2350" w:type="dxa"/>
          </w:tcPr>
          <w:p w14:paraId="48EE449E" w14:textId="5405E8AF" w:rsidR="000E4D93" w:rsidRDefault="000E4D93" w:rsidP="000E4D93">
            <w:r>
              <w:t>Alb</w:t>
            </w:r>
          </w:p>
        </w:tc>
        <w:tc>
          <w:tcPr>
            <w:tcW w:w="2559" w:type="dxa"/>
          </w:tcPr>
          <w:p w14:paraId="77CB4ABF" w14:textId="04B10F3D" w:rsidR="000E4D93" w:rsidRDefault="000E4D93" w:rsidP="000E4D93">
            <w:pPr>
              <w:jc w:val="center"/>
            </w:pPr>
            <w:r>
              <w:t>0.927</w:t>
            </w:r>
          </w:p>
        </w:tc>
        <w:tc>
          <w:tcPr>
            <w:tcW w:w="2546" w:type="dxa"/>
          </w:tcPr>
          <w:p w14:paraId="445E2D8D" w14:textId="57A21193" w:rsidR="000E4D93" w:rsidRDefault="000E4D93" w:rsidP="000E4D93">
            <w:pPr>
              <w:jc w:val="center"/>
            </w:pPr>
            <w:r>
              <w:t>0.886</w:t>
            </w:r>
          </w:p>
        </w:tc>
      </w:tr>
      <w:tr w:rsidR="000E4D93" w14:paraId="52750250" w14:textId="6C065BA1" w:rsidTr="000E4D93">
        <w:tc>
          <w:tcPr>
            <w:tcW w:w="1990" w:type="dxa"/>
            <w:vMerge/>
          </w:tcPr>
          <w:p w14:paraId="7D94B835" w14:textId="77777777" w:rsidR="000E4D93" w:rsidRDefault="000E4D93" w:rsidP="000E4D93"/>
        </w:tc>
        <w:tc>
          <w:tcPr>
            <w:tcW w:w="2350" w:type="dxa"/>
          </w:tcPr>
          <w:p w14:paraId="4D6BC5A2" w14:textId="44188948" w:rsidR="000E4D93" w:rsidRDefault="000E4D93" w:rsidP="000E4D93">
            <w:r>
              <w:t>Pck1</w:t>
            </w:r>
          </w:p>
        </w:tc>
        <w:tc>
          <w:tcPr>
            <w:tcW w:w="2559" w:type="dxa"/>
          </w:tcPr>
          <w:p w14:paraId="3A89C5C6" w14:textId="01142CED" w:rsidR="000E4D93" w:rsidRDefault="000E4D93" w:rsidP="000E4D93">
            <w:pPr>
              <w:jc w:val="center"/>
            </w:pPr>
            <w:r>
              <w:t>0.868</w:t>
            </w:r>
          </w:p>
        </w:tc>
        <w:tc>
          <w:tcPr>
            <w:tcW w:w="2546" w:type="dxa"/>
          </w:tcPr>
          <w:p w14:paraId="4AF60E6C" w14:textId="2F90EA3C" w:rsidR="000E4D93" w:rsidRDefault="000E4D93" w:rsidP="000E4D93">
            <w:pPr>
              <w:jc w:val="center"/>
            </w:pPr>
            <w:r>
              <w:t>0.796</w:t>
            </w:r>
          </w:p>
        </w:tc>
      </w:tr>
      <w:tr w:rsidR="000E4D93" w14:paraId="2FAF7CCC" w14:textId="5C942478" w:rsidTr="000E4D93">
        <w:tc>
          <w:tcPr>
            <w:tcW w:w="1990" w:type="dxa"/>
            <w:vMerge/>
          </w:tcPr>
          <w:p w14:paraId="6DE6988B" w14:textId="77777777" w:rsidR="000E4D93" w:rsidRDefault="000E4D93" w:rsidP="000E4D93"/>
        </w:tc>
        <w:tc>
          <w:tcPr>
            <w:tcW w:w="2350" w:type="dxa"/>
          </w:tcPr>
          <w:p w14:paraId="4276F266" w14:textId="1069320E" w:rsidR="000E4D93" w:rsidRDefault="000E4D93" w:rsidP="000E4D93">
            <w:r>
              <w:t>Fgg</w:t>
            </w:r>
          </w:p>
        </w:tc>
        <w:tc>
          <w:tcPr>
            <w:tcW w:w="2559" w:type="dxa"/>
          </w:tcPr>
          <w:p w14:paraId="683E0E17" w14:textId="66BE7AF8" w:rsidR="000E4D93" w:rsidRDefault="000E4D93" w:rsidP="000E4D93">
            <w:pPr>
              <w:jc w:val="center"/>
            </w:pPr>
            <w:r>
              <w:t>0.961</w:t>
            </w:r>
          </w:p>
        </w:tc>
        <w:tc>
          <w:tcPr>
            <w:tcW w:w="2546" w:type="dxa"/>
          </w:tcPr>
          <w:p w14:paraId="3A47E443" w14:textId="78C864E7" w:rsidR="000E4D93" w:rsidRDefault="000E4D93" w:rsidP="000E4D93">
            <w:pPr>
              <w:jc w:val="center"/>
            </w:pPr>
            <w:r>
              <w:t>0.901</w:t>
            </w:r>
          </w:p>
        </w:tc>
      </w:tr>
      <w:tr w:rsidR="000E4D93" w14:paraId="5F503F96" w14:textId="730CC1EB" w:rsidTr="000E4D93">
        <w:tc>
          <w:tcPr>
            <w:tcW w:w="1990" w:type="dxa"/>
            <w:vMerge/>
          </w:tcPr>
          <w:p w14:paraId="7A535BEC" w14:textId="77777777" w:rsidR="000E4D93" w:rsidRDefault="000E4D93" w:rsidP="000E4D93"/>
        </w:tc>
        <w:tc>
          <w:tcPr>
            <w:tcW w:w="2350" w:type="dxa"/>
          </w:tcPr>
          <w:p w14:paraId="6AFA6751" w14:textId="4993ACB3" w:rsidR="000E4D93" w:rsidRDefault="000E4D93" w:rsidP="000E4D93">
            <w:r>
              <w:t>Aldob</w:t>
            </w:r>
          </w:p>
        </w:tc>
        <w:tc>
          <w:tcPr>
            <w:tcW w:w="2559" w:type="dxa"/>
          </w:tcPr>
          <w:p w14:paraId="235A6E90" w14:textId="7FC237EA" w:rsidR="000E4D93" w:rsidRDefault="000E4D93" w:rsidP="000E4D93">
            <w:pPr>
              <w:jc w:val="center"/>
            </w:pPr>
            <w:r>
              <w:t>0.906</w:t>
            </w:r>
          </w:p>
        </w:tc>
        <w:tc>
          <w:tcPr>
            <w:tcW w:w="2546" w:type="dxa"/>
          </w:tcPr>
          <w:p w14:paraId="4B783D92" w14:textId="270718C5" w:rsidR="000E4D93" w:rsidRDefault="000E4D93" w:rsidP="000E4D93">
            <w:pPr>
              <w:jc w:val="center"/>
            </w:pPr>
            <w:r>
              <w:t>0.851</w:t>
            </w:r>
          </w:p>
        </w:tc>
      </w:tr>
      <w:tr w:rsidR="000E4D93" w14:paraId="67073777" w14:textId="5EDEE4C7" w:rsidTr="000E4D93">
        <w:tc>
          <w:tcPr>
            <w:tcW w:w="1990" w:type="dxa"/>
          </w:tcPr>
          <w:p w14:paraId="24A43CF4" w14:textId="77777777" w:rsidR="000E4D93" w:rsidRDefault="000E4D93" w:rsidP="000E4D93">
            <w:pPr>
              <w:jc w:val="center"/>
            </w:pPr>
          </w:p>
        </w:tc>
        <w:tc>
          <w:tcPr>
            <w:tcW w:w="2350" w:type="dxa"/>
          </w:tcPr>
          <w:p w14:paraId="4BC31FDA" w14:textId="77777777" w:rsidR="000E4D93" w:rsidRDefault="000E4D93" w:rsidP="000E4D93">
            <w:pPr>
              <w:jc w:val="center"/>
            </w:pPr>
            <w:r>
              <w:t>Median</w:t>
            </w:r>
          </w:p>
        </w:tc>
        <w:tc>
          <w:tcPr>
            <w:tcW w:w="2559" w:type="dxa"/>
          </w:tcPr>
          <w:p w14:paraId="17A9C56A" w14:textId="35B8924A" w:rsidR="000E4D93" w:rsidRDefault="000E4D93" w:rsidP="000E4D93">
            <w:pPr>
              <w:jc w:val="center"/>
            </w:pPr>
            <w:r>
              <w:t>0.927</w:t>
            </w:r>
          </w:p>
        </w:tc>
        <w:tc>
          <w:tcPr>
            <w:tcW w:w="2546" w:type="dxa"/>
          </w:tcPr>
          <w:p w14:paraId="27FB7EDC" w14:textId="21FD1E52" w:rsidR="000E4D93" w:rsidRDefault="000E4D93" w:rsidP="000E4D93">
            <w:pPr>
              <w:jc w:val="center"/>
            </w:pPr>
            <w:r>
              <w:t>0.890</w:t>
            </w:r>
          </w:p>
        </w:tc>
      </w:tr>
    </w:tbl>
    <w:p w14:paraId="73B99353" w14:textId="77777777" w:rsidR="000E4D93" w:rsidRDefault="000E4D93" w:rsidP="000E4D93">
      <w:pPr>
        <w:rPr>
          <w:b/>
          <w:bCs/>
        </w:rPr>
      </w:pPr>
    </w:p>
    <w:p w14:paraId="1B1F87EB" w14:textId="4C98E652" w:rsidR="000E4D93" w:rsidRDefault="000E4D93" w:rsidP="000E4D93">
      <w:r>
        <w:rPr>
          <w:b/>
          <w:bCs/>
        </w:rPr>
        <w:t>Table 3. Pearson correlation coefficient comparing control and acetaminophen hepatocytes reconstruction profile of landmark genes to untreated human hepatocytes.</w:t>
      </w:r>
      <w:r>
        <w:t xml:space="preserve"> To validate our spatial reconstruction of the human liver lobule, we compared the spatial profile of pericentral or periportal landmark genes (Halpern 201</w:t>
      </w:r>
      <w:r w:rsidR="00C24063">
        <w:t>7</w:t>
      </w:r>
      <w:r>
        <w:t>) to our spatial reconstruction of our control hepatocytes and acetaminophen hepatocytes.</w:t>
      </w:r>
    </w:p>
    <w:p w14:paraId="4DEE5FA7" w14:textId="4CD8672E" w:rsidR="004F3CED" w:rsidRDefault="004F3CED"/>
    <w:p w14:paraId="24FB1D90" w14:textId="50A9EC96" w:rsidR="004F3CED" w:rsidRDefault="004F3CED"/>
    <w:p w14:paraId="21E61714" w14:textId="131012EA" w:rsidR="004F3CED" w:rsidRDefault="004F3CED"/>
    <w:p w14:paraId="6AB25AC5" w14:textId="57512782" w:rsidR="004F3CED" w:rsidRDefault="004F3CED"/>
    <w:p w14:paraId="5F658E4D" w14:textId="56110546" w:rsidR="004F3CED" w:rsidRDefault="004F3CED"/>
    <w:p w14:paraId="66043E72" w14:textId="77777777" w:rsidR="004F3CED" w:rsidRPr="004F3CED" w:rsidRDefault="004F3CED"/>
    <w:sectPr w:rsidR="004F3CED" w:rsidRPr="004F3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MDAwNTcyszAxNjRT0lEKTi0uzszPAykwqgUAEL3pNiwAAAA="/>
  </w:docVars>
  <w:rsids>
    <w:rsidRoot w:val="004F3CED"/>
    <w:rsid w:val="000E4D93"/>
    <w:rsid w:val="004F3CED"/>
    <w:rsid w:val="0082636A"/>
    <w:rsid w:val="00C24063"/>
    <w:rsid w:val="00D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AA61"/>
  <w15:chartTrackingRefBased/>
  <w15:docId w15:val="{0ECB2480-7C71-4736-8821-0F1EFCE0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Umbaugh</dc:creator>
  <cp:keywords/>
  <dc:description/>
  <cp:lastModifiedBy>David Umbaugh</cp:lastModifiedBy>
  <cp:revision>2</cp:revision>
  <dcterms:created xsi:type="dcterms:W3CDTF">2020-10-27T19:20:00Z</dcterms:created>
  <dcterms:modified xsi:type="dcterms:W3CDTF">2021-03-25T20:00:00Z</dcterms:modified>
</cp:coreProperties>
</file>